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40"/>
      </w:pPr>
      <w:r>
        <w:rPr>
          <w:rFonts w:ascii="Arial" w:cs="Arial" w:eastAsia="Arial" w:hAnsi="Arial"/>
          <w:b/>
          <w:bCs/>
          <w:caps/>
          <w:color w:val="2563A8"/>
          <w:sz w:val="18"/>
          <w:szCs w:val="18"/>
        </w:rPr>
        <w:t xml:space="preserve">SECTION 6  ·  ISO 27001 IN THE INDONESIAN REGULATORY CONTEXT</w:t>
      </w:r>
    </w:p>
    <w:p>
      <w:pPr>
        <w:spacing w:after="80"/>
      </w:pPr>
      <w:r>
        <w:rPr>
          <w:rFonts w:ascii="Arial" w:cs="Arial" w:eastAsia="Arial" w:hAnsi="Arial"/>
          <w:b/>
          <w:bCs/>
          <w:caps/>
          <w:color w:val="4B5563"/>
          <w:sz w:val="18"/>
          <w:szCs w:val="18"/>
        </w:rPr>
        <w:t xml:space="preserve">ARTICLE 6.4  ·  ISO 27001 FOR FINTECH AND FINANCIAL SERVICES</w:t>
      </w:r>
    </w:p>
    <w:p>
      <w:pPr>
        <w:pStyle w:val="Heading1"/>
        <w:spacing w:after="120"/>
      </w:pPr>
      <w:r>
        <w:rPr>
          <w:rFonts w:ascii="Arial" w:cs="Arial" w:eastAsia="Arial" w:hAnsi="Arial"/>
          <w:b/>
          <w:bCs/>
          <w:color w:val="1B3A5C"/>
          <w:sz w:val="44"/>
          <w:szCs w:val="44"/>
        </w:rPr>
        <w:t xml:space="preserve">ISO 27001 for Fintech and Financial Services</w:t>
      </w:r>
    </w:p>
    <w:p>
      <w:pPr>
        <w:spacing w:after="60"/>
      </w:pPr>
      <w:r>
        <w:rPr>
          <w:rFonts w:ascii="Georgia" w:cs="Georgia" w:eastAsia="Georgia" w:hAnsi="Georgia"/>
          <w:i/>
          <w:iCs/>
          <w:color w:val="4B5563"/>
          <w:sz w:val="24"/>
          <w:szCs w:val="24"/>
        </w:rPr>
        <w:t xml:space="preserve">Practical ISO 27001 implementation guidance for fintech companies and financial services organizations in Indonesia — covering the regulatory complexity map by fintech segment, the licensing-aligned implementation sequence, cloud-native security controls specific to API-driven platforms, the multi-regulator incident notification matrix, and the relationship between ISO 27001 and PCI DSS for organizations handling card payments.</w:t>
      </w:r>
    </w:p>
    <w:p>
      <w:pPr>
        <w:spacing w:after="40"/>
      </w:pPr>
      <w:r>
        <w:rPr>
          <w:rFonts w:ascii="Arial" w:cs="Arial" w:eastAsia="Arial" w:hAnsi="Arial"/>
          <w:color w:val="9CA3AF"/>
          <w:sz w:val="18"/>
          <w:szCs w:val="18"/>
        </w:rPr>
        <w:t xml:space="preserve">Bitlion GRC Documentation  ·  Updated March 2026  ·  Reading time: ~17 minutes</w:t>
      </w:r>
    </w:p>
    <w:p>
      <w:pPr>
        <w:pBdr>
          <w:bottom w:val="single" w:color="D1D5DB" w:sz="2" w:space="1"/>
        </w:pBdr>
        <w:spacing w:before="200" w:after="200"/>
      </w:pPr>
      <w:r>
        <w:t xml:space="preserve"/>
      </w:r>
    </w:p>
    <w:p>
      <w:pPr>
        <w:spacing w:after="100"/>
      </w:pPr>
      <w:r>
        <w:t xml:space="preserve"/>
      </w:r>
    </w:p>
    <w:p>
      <w:pPr>
        <w:spacing w:after="160" w:line="320"/>
        <w:jc w:val="both"/>
      </w:pPr>
      <w:r>
        <w:rPr>
          <w:rFonts w:ascii="Georgia" w:cs="Georgia" w:eastAsia="Georgia" w:hAnsi="Georgia"/>
          <w:color w:val="111827"/>
          <w:sz w:val="22"/>
          <w:szCs w:val="22"/>
        </w:rPr>
        <w:t xml:space="preserve">Indonesian fintech is one of the most regulated sectors for information security in Southeast Asia. A payment company seeking a BI license, an OJK-supervised lending platform, or a bank deploying digital banking services simultaneously faces UU PDP enforcement, POJK IT governance examinations, BI payment security requirements, and client enterprise security questionnaires — each with distinct requirements and timelines. Navigating this complexity without a unified security framework produces regulatory exposure, duplicated compliance effort, and an organizational culture that treats security as a compliance burden rather than a product differentiator.</w:t>
      </w:r>
    </w:p>
    <w:p>
      <w:pPr>
        <w:spacing w:after="80"/>
      </w:pPr>
      <w:r>
        <w:t xml:space="preserve"/>
      </w:r>
    </w:p>
    <w:p>
      <w:pPr>
        <w:spacing w:after="160" w:line="320"/>
        <w:jc w:val="both"/>
      </w:pPr>
      <w:r>
        <w:rPr>
          <w:rFonts w:ascii="Georgia" w:cs="Georgia" w:eastAsia="Georgia" w:hAnsi="Georgia"/>
          <w:color w:val="111827"/>
          <w:sz w:val="22"/>
          <w:szCs w:val="22"/>
        </w:rPr>
        <w:t xml:space="preserve">ISO 27001 is the practical answer to this complexity — not because it satisfies all regulators independently, but because it provides the governance infrastructure that makes satisfying multiple regulators simultaneously efficient. The risk assessment, the control evidence library, the incident response procedure, the internal audit program, and the management review — each serves multiple regulatory purposes simultaneously when designed with the full compliance context in mind.</w:t>
      </w:r>
    </w:p>
    <w:p>
      <w:pPr>
        <w:spacing w:after="80"/>
      </w:pPr>
      <w:r>
        <w:t xml:space="preserve"/>
      </w:r>
    </w:p>
    <w:p>
      <w:pPr>
        <w:spacing w:after="160" w:line="320"/>
        <w:jc w:val="both"/>
      </w:pPr>
      <w:r>
        <w:rPr>
          <w:rFonts w:ascii="Georgia" w:cs="Georgia" w:eastAsia="Georgia" w:hAnsi="Georgia"/>
          <w:color w:val="111827"/>
          <w:sz w:val="22"/>
          <w:szCs w:val="22"/>
        </w:rPr>
        <w:t xml:space="preserve">This article addresses the practical implementation challenges specific to fintech and financial services organizations in Indonesia: the regulatory complexity that varies by segment, the implementation sequence that aligns ISMS delivery with licensing timelines, the cloud-native security controls that are most relevant for API-driven fintech platforms, the multi-regulator incident notification matrix that prevents deadline misses, and the relationship between ISO 27001 and PCI DSS for organizations handling card data.</w:t>
      </w:r>
    </w:p>
    <w:p>
      <w:pPr>
        <w:spacing w:after="200"/>
      </w:pPr>
      <w:r>
        <w:t xml:space="preserve"/>
      </w:r>
    </w:p>
    <w:p>
      <w:pPr>
        <w:pStyle w:val="Heading2"/>
        <w:pBdr>
          <w:bottom w:val="single" w:color="2563A8" w:sz="4" w:space="4"/>
        </w:pBdr>
        <w:spacing w:before="400" w:after="160"/>
      </w:pPr>
      <w:r>
        <w:rPr>
          <w:rFonts w:ascii="Arial" w:cs="Arial" w:eastAsia="Arial" w:hAnsi="Arial"/>
          <w:b/>
          <w:bCs/>
          <w:color w:val="1B3A5C"/>
          <w:sz w:val="28"/>
          <w:szCs w:val="28"/>
        </w:rPr>
        <w:t xml:space="preserve">Fintech Regulatory Complexity: A Segment Map</w:t>
      </w:r>
    </w:p>
    <w:p>
      <w:pPr>
        <w:spacing w:after="80"/>
      </w:pPr>
      <w:r>
        <w:t xml:space="preserve"/>
      </w:r>
    </w:p>
    <w:p>
      <w:pPr>
        <w:spacing w:after="160" w:line="320"/>
        <w:jc w:val="both"/>
      </w:pPr>
      <w:r>
        <w:rPr>
          <w:rFonts w:ascii="Georgia" w:cs="Georgia" w:eastAsia="Georgia" w:hAnsi="Georgia"/>
          <w:color w:val="111827"/>
          <w:sz w:val="22"/>
          <w:szCs w:val="22"/>
        </w:rPr>
        <w:t xml:space="preserve">The regulatory requirements for information security vary significantly across fintech segments — not just in which regulator applies, but in the specific technical controls, notification timelines, and data governance requirements. Understanding the regulatory map for the specific fintech segment prevents both over-engineering (implementing controls not required) and under-engineering (missing segment-specific requirements):</w:t>
      </w:r>
    </w:p>
    <w:p>
      <w:pPr>
        <w:spacing w:after="12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1600"/>
        <w:gridCol w:w="1400"/>
        <w:gridCol w:w="2200"/>
        <w:gridCol w:w="2560"/>
        <w:gridCol w:w="1600"/>
      </w:tblGrid>
      <w:tr>
        <w:tc>
          <w:tcPr>
            <w:tcW w:type="dxa" w:w="1600"/>
            <w:tcBorders>
              <w:top w:val="single" w:color="DBEAFE" w:sz="1"/>
              <w:left w:val="single" w:color="DBEAFE" w:sz="1"/>
              <w:bottom w:val="single" w:color="DBEAFE" w:sz="1"/>
              <w:right w:val="single" w:color="DBEAFE" w:sz="1"/>
            </w:tcBorders>
            <w:shd w:fill="1B3A5C" w:val="clear"/>
            <w:tcMar>
              <w:top w:type="dxa" w:w="90"/>
              <w:left w:type="dxa" w:w="110"/>
              <w:bottom w:type="dxa" w:w="90"/>
              <w:right w:type="dxa" w:w="110"/>
            </w:tcMar>
          </w:tcPr>
          <w:p>
            <w:r>
              <w:rPr>
                <w:rFonts w:ascii="Arial" w:cs="Arial" w:eastAsia="Arial" w:hAnsi="Arial"/>
                <w:b/>
                <w:bCs/>
                <w:color w:val="FFFFFF"/>
                <w:sz w:val="17"/>
                <w:szCs w:val="17"/>
              </w:rPr>
              <w:t xml:space="preserve">Fintech segment</w:t>
            </w:r>
          </w:p>
        </w:tc>
        <w:tc>
          <w:tcPr>
            <w:tcW w:type="dxa" w:w="1400"/>
            <w:tcBorders>
              <w:top w:val="single" w:color="DBEAFE" w:sz="1"/>
              <w:left w:val="single" w:color="DBEAFE" w:sz="1"/>
              <w:bottom w:val="single" w:color="DBEAFE" w:sz="1"/>
              <w:right w:val="single" w:color="DBEAFE" w:sz="1"/>
            </w:tcBorders>
            <w:shd w:fill="1B3A5C" w:val="clear"/>
            <w:tcMar>
              <w:top w:type="dxa" w:w="90"/>
              <w:left w:type="dxa" w:w="110"/>
              <w:bottom w:type="dxa" w:w="90"/>
              <w:right w:type="dxa" w:w="110"/>
            </w:tcMar>
          </w:tcPr>
          <w:p>
            <w:r>
              <w:rPr>
                <w:rFonts w:ascii="Arial" w:cs="Arial" w:eastAsia="Arial" w:hAnsi="Arial"/>
                <w:b/>
                <w:bCs/>
                <w:color w:val="FFFFFF"/>
                <w:sz w:val="17"/>
                <w:szCs w:val="17"/>
              </w:rPr>
              <w:t xml:space="preserve">Primary regulator(s)</w:t>
            </w:r>
          </w:p>
        </w:tc>
        <w:tc>
          <w:tcPr>
            <w:tcW w:type="dxa" w:w="2200"/>
            <w:tcBorders>
              <w:top w:val="single" w:color="DBEAFE" w:sz="1"/>
              <w:left w:val="single" w:color="DBEAFE" w:sz="1"/>
              <w:bottom w:val="single" w:color="DBEAFE" w:sz="1"/>
              <w:right w:val="single" w:color="DBEAFE" w:sz="1"/>
            </w:tcBorders>
            <w:shd w:fill="1B3A5C" w:val="clear"/>
            <w:tcMar>
              <w:top w:type="dxa" w:w="90"/>
              <w:left w:type="dxa" w:w="110"/>
              <w:bottom w:type="dxa" w:w="90"/>
              <w:right w:type="dxa" w:w="110"/>
            </w:tcMar>
          </w:tcPr>
          <w:p>
            <w:r>
              <w:rPr>
                <w:rFonts w:ascii="Arial" w:cs="Arial" w:eastAsia="Arial" w:hAnsi="Arial"/>
                <w:b/>
                <w:bCs/>
                <w:color w:val="FFFFFF"/>
                <w:sz w:val="17"/>
                <w:szCs w:val="17"/>
              </w:rPr>
              <w:t xml:space="preserve">Key IS requirements</w:t>
            </w:r>
          </w:p>
        </w:tc>
        <w:tc>
          <w:tcPr>
            <w:tcW w:type="dxa" w:w="2560"/>
            <w:tcBorders>
              <w:top w:val="single" w:color="DBEAFE" w:sz="1"/>
              <w:left w:val="single" w:color="DBEAFE" w:sz="1"/>
              <w:bottom w:val="single" w:color="DBEAFE" w:sz="1"/>
              <w:right w:val="single" w:color="DBEAFE" w:sz="1"/>
            </w:tcBorders>
            <w:shd w:fill="1B3A5C" w:val="clear"/>
            <w:tcMar>
              <w:top w:type="dxa" w:w="90"/>
              <w:left w:type="dxa" w:w="110"/>
              <w:bottom w:type="dxa" w:w="90"/>
              <w:right w:type="dxa" w:w="110"/>
            </w:tcMar>
          </w:tcPr>
          <w:p>
            <w:r>
              <w:rPr>
                <w:rFonts w:ascii="Arial" w:cs="Arial" w:eastAsia="Arial" w:hAnsi="Arial"/>
                <w:b/>
                <w:bCs/>
                <w:color w:val="FFFFFF"/>
                <w:sz w:val="17"/>
                <w:szCs w:val="17"/>
              </w:rPr>
              <w:t xml:space="preserve">Priority ISO 27001 controls</w:t>
            </w:r>
          </w:p>
        </w:tc>
        <w:tc>
          <w:tcPr>
            <w:tcW w:type="dxa" w:w="1600"/>
            <w:tcBorders>
              <w:top w:val="single" w:color="DBEAFE" w:sz="1"/>
              <w:left w:val="single" w:color="DBEAFE" w:sz="1"/>
              <w:bottom w:val="single" w:color="DBEAFE" w:sz="1"/>
              <w:right w:val="single" w:color="DBEAFE" w:sz="1"/>
            </w:tcBorders>
            <w:shd w:fill="1B3A5C" w:val="clear"/>
            <w:tcMar>
              <w:top w:type="dxa" w:w="90"/>
              <w:left w:type="dxa" w:w="110"/>
              <w:bottom w:type="dxa" w:w="90"/>
              <w:right w:type="dxa" w:w="110"/>
            </w:tcMar>
          </w:tcPr>
          <w:p>
            <w:r>
              <w:rPr>
                <w:rFonts w:ascii="Arial" w:cs="Arial" w:eastAsia="Arial" w:hAnsi="Arial"/>
                <w:b/>
                <w:bCs/>
                <w:color w:val="FFFFFF"/>
                <w:sz w:val="17"/>
                <w:szCs w:val="17"/>
              </w:rPr>
              <w:t xml:space="preserve">Additional frameworks</w:t>
            </w:r>
          </w:p>
        </w:tc>
      </w:tr>
      <w:tr>
        <w:tc>
          <w:tcPr>
            <w:tcW w:type="auto" w:w="1600"/>
            <w:tcBorders>
              <w:top w:val="single" w:color="DBEAFE" w:sz="1"/>
              <w:left w:val="single" w:color="DBEAFE" w:sz="1"/>
              <w:bottom w:val="single" w:color="DBEAFE" w:sz="1"/>
              <w:right w:val="single" w:color="DBEAFE" w:sz="1"/>
            </w:tcBorders>
            <w:shd w:fill="1B3A5C" w:val="clear"/>
            <w:tcMar>
              <w:top w:type="dxa" w:w="100"/>
              <w:left w:type="dxa" w:w="110"/>
              <w:bottom w:type="dxa" w:w="100"/>
              <w:right w:type="dxa" w:w="110"/>
            </w:tcMar>
          </w:tcPr>
          <w:p>
            <w:r>
              <w:rPr>
                <w:rFonts w:ascii="Arial" w:cs="Arial" w:eastAsia="Arial" w:hAnsi="Arial"/>
                <w:b/>
                <w:bCs/>
                <w:color w:val="FFFFFF"/>
                <w:sz w:val="17"/>
                <w:szCs w:val="17"/>
              </w:rPr>
              <w:t xml:space="preserve">E-money / Digital Wallet</w:t>
            </w:r>
          </w:p>
        </w:tc>
        <w:tc>
          <w:tcPr>
            <w:tcW w:type="auto" w:w="1400"/>
            <w:tcBorders>
              <w:top w:val="single" w:color="DBEAFE" w:sz="1"/>
              <w:left w:val="single" w:color="DBEAFE" w:sz="1"/>
              <w:bottom w:val="single" w:color="DBEAFE" w:sz="1"/>
              <w:right w:val="single" w:color="DBEAFE" w:sz="1"/>
            </w:tcBorders>
            <w:shd w:fill="F3F4F6" w:val="clear"/>
            <w:tcMar>
              <w:top w:type="dxa" w:w="100"/>
              <w:left w:type="dxa" w:w="100"/>
              <w:bottom w:type="dxa" w:w="100"/>
              <w:right w:type="dxa" w:w="100"/>
            </w:tcMar>
          </w:tcPr>
          <w:p>
            <w:r>
              <w:rPr>
                <w:rFonts w:ascii="Georgia" w:cs="Georgia" w:eastAsia="Georgia" w:hAnsi="Georgia"/>
                <w:color w:val="111827"/>
                <w:sz w:val="16"/>
                <w:szCs w:val="16"/>
              </w:rPr>
              <w:t xml:space="preserve">Bank Indonesia (primary — PBI 23/2021)</w:t>
            </w:r>
          </w:p>
        </w:tc>
        <w:tc>
          <w:tcPr>
            <w:tcW w:type="auto" w:w="2200"/>
            <w:tcBorders>
              <w:top w:val="single" w:color="DBEAFE" w:sz="1"/>
              <w:left w:val="single" w:color="DBEAFE" w:sz="1"/>
              <w:bottom w:val="single" w:color="DBEAFE" w:sz="1"/>
              <w:right w:val="single" w:color="DBEAFE" w:sz="1"/>
            </w:tcBorders>
            <w:shd w:fill="EBF2FB" w:val="clear"/>
            <w:tcMar>
              <w:top w:type="dxa" w:w="100"/>
              <w:left w:type="dxa" w:w="100"/>
              <w:bottom w:type="dxa" w:w="100"/>
              <w:right w:type="dxa" w:w="100"/>
            </w:tcMar>
          </w:tcPr>
          <w:p>
            <w:r>
              <w:rPr>
                <w:rFonts w:ascii="Georgia" w:cs="Georgia" w:eastAsia="Georgia" w:hAnsi="Georgia"/>
                <w:color w:val="111827"/>
                <w:sz w:val="16"/>
                <w:szCs w:val="16"/>
              </w:rPr>
              <w:t xml:space="preserve">PSP license, Indonesian payment data localization, 2-hr BI incident notification, MFA for payment authorization, fraud monitoring, availability SLA 99.5%, PCI DSS alignment for card tokenization</w:t>
            </w:r>
          </w:p>
        </w:tc>
        <w:tc>
          <w:tcPr>
            <w:tcW w:type="auto" w:w="2560"/>
            <w:tcBorders>
              <w:top w:val="single" w:color="DBEAFE" w:sz="1"/>
              <w:left w:val="single" w:color="DBEAFE" w:sz="1"/>
              <w:bottom w:val="single" w:color="DBEAFE" w:sz="1"/>
              <w:right w:val="single" w:color="DBEAFE" w:sz="1"/>
            </w:tcBorders>
            <w:shd w:fill="ECFDF5" w:val="clear"/>
            <w:tcMar>
              <w:top w:type="dxa" w:w="100"/>
              <w:left w:type="dxa" w:w="100"/>
              <w:bottom w:type="dxa" w:w="100"/>
              <w:right w:type="dxa" w:w="100"/>
            </w:tcMar>
          </w:tcPr>
          <w:p>
            <w:r>
              <w:rPr>
                <w:rFonts w:ascii="Georgia" w:cs="Georgia" w:eastAsia="Georgia" w:hAnsi="Georgia"/>
                <w:color w:val="065F46"/>
                <w:sz w:val="15"/>
                <w:szCs w:val="15"/>
              </w:rPr>
              <w:t xml:space="preserve">8.5 (MFA), 8.24 (encryption/PCI), 8.15–8.16 (fraud monitoring), 5.30 (BCM/availability), 5.26 (incident + BI 2-hr), 5.23 (cloud security for Jakarta-region hosting)</w:t>
            </w:r>
          </w:p>
        </w:tc>
        <w:tc>
          <w:tcPr>
            <w:tcW w:type="auto" w:w="1600"/>
            <w:tcBorders>
              <w:top w:val="single" w:color="DBEAFE" w:sz="1"/>
              <w:left w:val="single" w:color="DBEAFE" w:sz="1"/>
              <w:bottom w:val="single" w:color="DBEAFE" w:sz="1"/>
              <w:right w:val="single" w:color="DBEAFE" w:sz="1"/>
            </w:tcBorders>
            <w:shd w:fill="FFFBEB" w:val="clear"/>
            <w:tcMar>
              <w:top w:type="dxa" w:w="100"/>
              <w:left w:type="dxa" w:w="100"/>
              <w:bottom w:type="dxa" w:w="100"/>
              <w:right w:type="dxa" w:w="100"/>
            </w:tcMar>
          </w:tcPr>
          <w:p>
            <w:r>
              <w:rPr>
                <w:rFonts w:ascii="Georgia" w:cs="Georgia" w:eastAsia="Georgia" w:hAnsi="Georgia"/>
                <w:i/>
                <w:iCs/>
                <w:color w:val="B45309"/>
                <w:sz w:val="14"/>
                <w:szCs w:val="14"/>
              </w:rPr>
              <w:t xml:space="preserve">UU PDP (customer PII), BSSN cybersecurity framework</w:t>
            </w:r>
          </w:p>
        </w:tc>
      </w:tr>
      <w:tr>
        <w:tc>
          <w:tcPr>
            <w:tcW w:type="auto" w:w="1600"/>
            <w:tcBorders>
              <w:top w:val="single" w:color="DBEAFE" w:sz="1"/>
              <w:left w:val="single" w:color="DBEAFE" w:sz="1"/>
              <w:bottom w:val="single" w:color="DBEAFE" w:sz="1"/>
              <w:right w:val="single" w:color="DBEAFE" w:sz="1"/>
            </w:tcBorders>
            <w:shd w:fill="2563A8" w:val="clear"/>
            <w:tcMar>
              <w:top w:type="dxa" w:w="100"/>
              <w:left w:type="dxa" w:w="110"/>
              <w:bottom w:type="dxa" w:w="100"/>
              <w:right w:type="dxa" w:w="110"/>
            </w:tcMar>
          </w:tcPr>
          <w:p>
            <w:r>
              <w:rPr>
                <w:rFonts w:ascii="Arial" w:cs="Arial" w:eastAsia="Arial" w:hAnsi="Arial"/>
                <w:b/>
                <w:bCs/>
                <w:color w:val="FFFFFF"/>
                <w:sz w:val="17"/>
                <w:szCs w:val="17"/>
              </w:rPr>
              <w:t xml:space="preserve">P2P Lending / Fintech Lending</w:t>
            </w:r>
          </w:p>
        </w:tc>
        <w:tc>
          <w:tcPr>
            <w:tcW w:type="auto" w:w="1400"/>
            <w:tcBorders>
              <w:top w:val="single" w:color="DBEAFE" w:sz="1"/>
              <w:left w:val="single" w:color="DBEAFE" w:sz="1"/>
              <w:bottom w:val="single" w:color="DBEAFE" w:sz="1"/>
              <w:right w:val="single" w:color="DBEAFE" w:sz="1"/>
            </w:tcBorders>
            <w:shd w:fill="FFFFFF" w:val="clear"/>
            <w:tcMar>
              <w:top w:type="dxa" w:w="100"/>
              <w:left w:type="dxa" w:w="100"/>
              <w:bottom w:type="dxa" w:w="100"/>
              <w:right w:type="dxa" w:w="100"/>
            </w:tcMar>
          </w:tcPr>
          <w:p>
            <w:r>
              <w:rPr>
                <w:rFonts w:ascii="Georgia" w:cs="Georgia" w:eastAsia="Georgia" w:hAnsi="Georgia"/>
                <w:color w:val="111827"/>
                <w:sz w:val="16"/>
                <w:szCs w:val="16"/>
              </w:rPr>
              <w:t xml:space="preserve">OJK (primary — POJK 10/2022 Fintech Lending), Bank Indonesia (payment settlement)</w:t>
            </w:r>
          </w:p>
        </w:tc>
        <w:tc>
          <w:tcPr>
            <w:tcW w:type="auto" w:w="2200"/>
            <w:tcBorders>
              <w:top w:val="single" w:color="DBEAFE" w:sz="1"/>
              <w:left w:val="single" w:color="DBEAFE" w:sz="1"/>
              <w:bottom w:val="single" w:color="DBEAFE" w:sz="1"/>
              <w:right w:val="single" w:color="DBEAFE" w:sz="1"/>
            </w:tcBorders>
            <w:shd w:fill="F0F7FF" w:val="clear"/>
            <w:tcMar>
              <w:top w:type="dxa" w:w="100"/>
              <w:left w:type="dxa" w:w="100"/>
              <w:bottom w:type="dxa" w:w="100"/>
              <w:right w:type="dxa" w:w="100"/>
            </w:tcMar>
          </w:tcPr>
          <w:p>
            <w:r>
              <w:rPr>
                <w:rFonts w:ascii="Georgia" w:cs="Georgia" w:eastAsia="Georgia" w:hAnsi="Georgia"/>
                <w:color w:val="111827"/>
                <w:sz w:val="16"/>
                <w:szCs w:val="16"/>
              </w:rPr>
              <w:t xml:space="preserve">IT governance, borrower data protection, escrow account security, collection practices data controls, lender/borrower matching system security, OJK incident notification 3×24hr</w:t>
            </w:r>
          </w:p>
        </w:tc>
        <w:tc>
          <w:tcPr>
            <w:tcW w:type="auto" w:w="2560"/>
            <w:tcBorders>
              <w:top w:val="single" w:color="DBEAFE" w:sz="1"/>
              <w:left w:val="single" w:color="DBEAFE" w:sz="1"/>
              <w:bottom w:val="single" w:color="DBEAFE" w:sz="1"/>
              <w:right w:val="single" w:color="DBEAFE" w:sz="1"/>
            </w:tcBorders>
            <w:shd w:fill="ECFDF5" w:val="clear"/>
            <w:tcMar>
              <w:top w:type="dxa" w:w="100"/>
              <w:left w:type="dxa" w:w="100"/>
              <w:bottom w:type="dxa" w:w="100"/>
              <w:right w:type="dxa" w:w="100"/>
            </w:tcMar>
          </w:tcPr>
          <w:p>
            <w:r>
              <w:rPr>
                <w:rFonts w:ascii="Georgia" w:cs="Georgia" w:eastAsia="Georgia" w:hAnsi="Georgia"/>
                <w:color w:val="065F46"/>
                <w:sz w:val="15"/>
                <w:szCs w:val="15"/>
              </w:rPr>
              <w:t xml:space="preserve">5.34 (borrower PII), 8.12 (DLP for borrower data), 5.19–5.22 (KYC and payment processor supplier security), 5.26 (incident + OJK notification), 8.5 (platform authentication)</w:t>
            </w:r>
          </w:p>
        </w:tc>
        <w:tc>
          <w:tcPr>
            <w:tcW w:type="auto" w:w="1600"/>
            <w:tcBorders>
              <w:top w:val="single" w:color="DBEAFE" w:sz="1"/>
              <w:left w:val="single" w:color="DBEAFE" w:sz="1"/>
              <w:bottom w:val="single" w:color="DBEAFE" w:sz="1"/>
              <w:right w:val="single" w:color="DBEAFE" w:sz="1"/>
            </w:tcBorders>
            <w:shd w:fill="FFFBEB" w:val="clear"/>
            <w:tcMar>
              <w:top w:type="dxa" w:w="100"/>
              <w:left w:type="dxa" w:w="100"/>
              <w:bottom w:type="dxa" w:w="100"/>
              <w:right w:type="dxa" w:w="100"/>
            </w:tcMar>
          </w:tcPr>
          <w:p>
            <w:r>
              <w:rPr>
                <w:rFonts w:ascii="Georgia" w:cs="Georgia" w:eastAsia="Georgia" w:hAnsi="Georgia"/>
                <w:i/>
                <w:iCs/>
                <w:color w:val="B45309"/>
                <w:sz w:val="14"/>
                <w:szCs w:val="14"/>
              </w:rPr>
              <w:t xml:space="preserve">UU PDP (borrower personal and financial data — specific personal data category)</w:t>
            </w:r>
          </w:p>
        </w:tc>
      </w:tr>
      <w:tr>
        <w:tc>
          <w:tcPr>
            <w:tcW w:type="auto" w:w="1600"/>
            <w:tcBorders>
              <w:top w:val="single" w:color="DBEAFE" w:sz="1"/>
              <w:left w:val="single" w:color="DBEAFE" w:sz="1"/>
              <w:bottom w:val="single" w:color="DBEAFE" w:sz="1"/>
              <w:right w:val="single" w:color="DBEAFE" w:sz="1"/>
            </w:tcBorders>
            <w:shd w:fill="0F766E" w:val="clear"/>
            <w:tcMar>
              <w:top w:type="dxa" w:w="100"/>
              <w:left w:type="dxa" w:w="110"/>
              <w:bottom w:type="dxa" w:w="100"/>
              <w:right w:type="dxa" w:w="110"/>
            </w:tcMar>
          </w:tcPr>
          <w:p>
            <w:r>
              <w:rPr>
                <w:rFonts w:ascii="Arial" w:cs="Arial" w:eastAsia="Arial" w:hAnsi="Arial"/>
                <w:b/>
                <w:bCs/>
                <w:color w:val="FFFFFF"/>
                <w:sz w:val="17"/>
                <w:szCs w:val="17"/>
              </w:rPr>
              <w:t xml:space="preserve">Payment Gateway / Acquiring</w:t>
            </w:r>
          </w:p>
        </w:tc>
        <w:tc>
          <w:tcPr>
            <w:tcW w:type="auto" w:w="1400"/>
            <w:tcBorders>
              <w:top w:val="single" w:color="DBEAFE" w:sz="1"/>
              <w:left w:val="single" w:color="DBEAFE" w:sz="1"/>
              <w:bottom w:val="single" w:color="DBEAFE" w:sz="1"/>
              <w:right w:val="single" w:color="DBEAFE" w:sz="1"/>
            </w:tcBorders>
            <w:shd w:fill="F3F4F6" w:val="clear"/>
            <w:tcMar>
              <w:top w:type="dxa" w:w="100"/>
              <w:left w:type="dxa" w:w="100"/>
              <w:bottom w:type="dxa" w:w="100"/>
              <w:right w:type="dxa" w:w="100"/>
            </w:tcMar>
          </w:tcPr>
          <w:p>
            <w:r>
              <w:rPr>
                <w:rFonts w:ascii="Georgia" w:cs="Georgia" w:eastAsia="Georgia" w:hAnsi="Georgia"/>
                <w:color w:val="111827"/>
                <w:sz w:val="16"/>
                <w:szCs w:val="16"/>
              </w:rPr>
              <w:t xml:space="preserve">Bank Indonesia (PBI 23/2021 PSP license)</w:t>
            </w:r>
          </w:p>
        </w:tc>
        <w:tc>
          <w:tcPr>
            <w:tcW w:type="auto" w:w="2200"/>
            <w:tcBorders>
              <w:top w:val="single" w:color="DBEAFE" w:sz="1"/>
              <w:left w:val="single" w:color="DBEAFE" w:sz="1"/>
              <w:bottom w:val="single" w:color="DBEAFE" w:sz="1"/>
              <w:right w:val="single" w:color="DBEAFE" w:sz="1"/>
            </w:tcBorders>
            <w:shd w:fill="EBF2FB" w:val="clear"/>
            <w:tcMar>
              <w:top w:type="dxa" w:w="100"/>
              <w:left w:type="dxa" w:w="100"/>
              <w:bottom w:type="dxa" w:w="100"/>
              <w:right w:type="dxa" w:w="100"/>
            </w:tcMar>
          </w:tcPr>
          <w:p>
            <w:r>
              <w:rPr>
                <w:rFonts w:ascii="Georgia" w:cs="Georgia" w:eastAsia="Georgia" w:hAnsi="Georgia"/>
                <w:color w:val="111827"/>
                <w:sz w:val="16"/>
                <w:szCs w:val="16"/>
              </w:rPr>
              <w:t xml:space="preserve">PCI DSS for cardholder data, transaction routing security, merchant onboarding KYC, fraud monitoring, chargeback processing security, 2-hr BI incident notification, payment data localization</w:t>
            </w:r>
          </w:p>
        </w:tc>
        <w:tc>
          <w:tcPr>
            <w:tcW w:type="auto" w:w="2560"/>
            <w:tcBorders>
              <w:top w:val="single" w:color="DBEAFE" w:sz="1"/>
              <w:left w:val="single" w:color="DBEAFE" w:sz="1"/>
              <w:bottom w:val="single" w:color="DBEAFE" w:sz="1"/>
              <w:right w:val="single" w:color="DBEAFE" w:sz="1"/>
            </w:tcBorders>
            <w:shd w:fill="ECFDF5" w:val="clear"/>
            <w:tcMar>
              <w:top w:type="dxa" w:w="100"/>
              <w:left w:type="dxa" w:w="100"/>
              <w:bottom w:type="dxa" w:w="100"/>
              <w:right w:type="dxa" w:w="100"/>
            </w:tcMar>
          </w:tcPr>
          <w:p>
            <w:r>
              <w:rPr>
                <w:rFonts w:ascii="Georgia" w:cs="Georgia" w:eastAsia="Georgia" w:hAnsi="Georgia"/>
                <w:color w:val="065F46"/>
                <w:sz w:val="15"/>
                <w:szCs w:val="15"/>
              </w:rPr>
              <w:t xml:space="preserve">8.24 (PCI cryptography), 8.22 (cardholder data environment segmentation), 8.29 (penetration testing), 8.8 (vulnerability management), 5.20 (merchant agreements with security terms)</w:t>
            </w:r>
          </w:p>
        </w:tc>
        <w:tc>
          <w:tcPr>
            <w:tcW w:type="auto" w:w="1600"/>
            <w:tcBorders>
              <w:top w:val="single" w:color="DBEAFE" w:sz="1"/>
              <w:left w:val="single" w:color="DBEAFE" w:sz="1"/>
              <w:bottom w:val="single" w:color="DBEAFE" w:sz="1"/>
              <w:right w:val="single" w:color="DBEAFE" w:sz="1"/>
            </w:tcBorders>
            <w:shd w:fill="FFFBEB" w:val="clear"/>
            <w:tcMar>
              <w:top w:type="dxa" w:w="100"/>
              <w:left w:type="dxa" w:w="100"/>
              <w:bottom w:type="dxa" w:w="100"/>
              <w:right w:type="dxa" w:w="100"/>
            </w:tcMar>
          </w:tcPr>
          <w:p>
            <w:r>
              <w:rPr>
                <w:rFonts w:ascii="Georgia" w:cs="Georgia" w:eastAsia="Georgia" w:hAnsi="Georgia"/>
                <w:i/>
                <w:iCs/>
                <w:color w:val="B45309"/>
                <w:sz w:val="14"/>
                <w:szCs w:val="14"/>
              </w:rPr>
              <w:t xml:space="preserve">PCI DSS (mandatory for card processing), UU PDP</w:t>
            </w:r>
          </w:p>
        </w:tc>
      </w:tr>
      <w:tr>
        <w:tc>
          <w:tcPr>
            <w:tcW w:type="auto" w:w="1600"/>
            <w:tcBorders>
              <w:top w:val="single" w:color="DBEAFE" w:sz="1"/>
              <w:left w:val="single" w:color="DBEAFE" w:sz="1"/>
              <w:bottom w:val="single" w:color="DBEAFE" w:sz="1"/>
              <w:right w:val="single" w:color="DBEAFE" w:sz="1"/>
            </w:tcBorders>
            <w:shd w:fill="3730A3" w:val="clear"/>
            <w:tcMar>
              <w:top w:type="dxa" w:w="100"/>
              <w:left w:type="dxa" w:w="110"/>
              <w:bottom w:type="dxa" w:w="100"/>
              <w:right w:type="dxa" w:w="110"/>
            </w:tcMar>
          </w:tcPr>
          <w:p>
            <w:r>
              <w:rPr>
                <w:rFonts w:ascii="Arial" w:cs="Arial" w:eastAsia="Arial" w:hAnsi="Arial"/>
                <w:b/>
                <w:bCs/>
                <w:color w:val="FFFFFF"/>
                <w:sz w:val="17"/>
                <w:szCs w:val="17"/>
              </w:rPr>
              <w:t xml:space="preserve">Investment / Wealth Management Tech</w:t>
            </w:r>
          </w:p>
        </w:tc>
        <w:tc>
          <w:tcPr>
            <w:tcW w:type="auto" w:w="1400"/>
            <w:tcBorders>
              <w:top w:val="single" w:color="DBEAFE" w:sz="1"/>
              <w:left w:val="single" w:color="DBEAFE" w:sz="1"/>
              <w:bottom w:val="single" w:color="DBEAFE" w:sz="1"/>
              <w:right w:val="single" w:color="DBEAFE" w:sz="1"/>
            </w:tcBorders>
            <w:shd w:fill="FFFFFF" w:val="clear"/>
            <w:tcMar>
              <w:top w:type="dxa" w:w="100"/>
              <w:left w:type="dxa" w:w="100"/>
              <w:bottom w:type="dxa" w:w="100"/>
              <w:right w:type="dxa" w:w="100"/>
            </w:tcMar>
          </w:tcPr>
          <w:p>
            <w:r>
              <w:rPr>
                <w:rFonts w:ascii="Georgia" w:cs="Georgia" w:eastAsia="Georgia" w:hAnsi="Georgia"/>
                <w:color w:val="111827"/>
                <w:sz w:val="16"/>
                <w:szCs w:val="16"/>
              </w:rPr>
              <w:t xml:space="preserve">OJK (POJK capital markets and investment management regulations), Bursa Efek Indonesia (BEI) for market access</w:t>
            </w:r>
          </w:p>
        </w:tc>
        <w:tc>
          <w:tcPr>
            <w:tcW w:type="auto" w:w="2200"/>
            <w:tcBorders>
              <w:top w:val="single" w:color="DBEAFE" w:sz="1"/>
              <w:left w:val="single" w:color="DBEAFE" w:sz="1"/>
              <w:bottom w:val="single" w:color="DBEAFE" w:sz="1"/>
              <w:right w:val="single" w:color="DBEAFE" w:sz="1"/>
            </w:tcBorders>
            <w:shd w:fill="F0F7FF" w:val="clear"/>
            <w:tcMar>
              <w:top w:type="dxa" w:w="100"/>
              <w:left w:type="dxa" w:w="100"/>
              <w:bottom w:type="dxa" w:w="100"/>
              <w:right w:type="dxa" w:w="100"/>
            </w:tcMar>
          </w:tcPr>
          <w:p>
            <w:r>
              <w:rPr>
                <w:rFonts w:ascii="Georgia" w:cs="Georgia" w:eastAsia="Georgia" w:hAnsi="Georgia"/>
                <w:color w:val="111827"/>
                <w:sz w:val="16"/>
                <w:szCs w:val="16"/>
              </w:rPr>
              <w:t xml:space="preserve">Transaction data integrity, trading system availability, investor data protection, system audit trails, algorithmic trading risk controls, OJK examination readiness</w:t>
            </w:r>
          </w:p>
        </w:tc>
        <w:tc>
          <w:tcPr>
            <w:tcW w:type="auto" w:w="2560"/>
            <w:tcBorders>
              <w:top w:val="single" w:color="DBEAFE" w:sz="1"/>
              <w:left w:val="single" w:color="DBEAFE" w:sz="1"/>
              <w:bottom w:val="single" w:color="DBEAFE" w:sz="1"/>
              <w:right w:val="single" w:color="DBEAFE" w:sz="1"/>
            </w:tcBorders>
            <w:shd w:fill="ECFDF5" w:val="clear"/>
            <w:tcMar>
              <w:top w:type="dxa" w:w="100"/>
              <w:left w:type="dxa" w:w="100"/>
              <w:bottom w:type="dxa" w:w="100"/>
              <w:right w:type="dxa" w:w="100"/>
            </w:tcMar>
          </w:tcPr>
          <w:p>
            <w:r>
              <w:rPr>
                <w:rFonts w:ascii="Georgia" w:cs="Georgia" w:eastAsia="Georgia" w:hAnsi="Georgia"/>
                <w:color w:val="065F46"/>
                <w:sz w:val="15"/>
                <w:szCs w:val="15"/>
              </w:rPr>
              <w:t xml:space="preserve">5.12 (investor data classification), 8.15 (audit trail logging), 8.14 (trading system redundancy), 5.31 (regulatory compliance — capital markets laws), 8.32 (change management for trading systems)</w:t>
            </w:r>
          </w:p>
        </w:tc>
        <w:tc>
          <w:tcPr>
            <w:tcW w:type="auto" w:w="1600"/>
            <w:tcBorders>
              <w:top w:val="single" w:color="DBEAFE" w:sz="1"/>
              <w:left w:val="single" w:color="DBEAFE" w:sz="1"/>
              <w:bottom w:val="single" w:color="DBEAFE" w:sz="1"/>
              <w:right w:val="single" w:color="DBEAFE" w:sz="1"/>
            </w:tcBorders>
            <w:shd w:fill="FFFBEB" w:val="clear"/>
            <w:tcMar>
              <w:top w:type="dxa" w:w="100"/>
              <w:left w:type="dxa" w:w="100"/>
              <w:bottom w:type="dxa" w:w="100"/>
              <w:right w:type="dxa" w:w="100"/>
            </w:tcMar>
          </w:tcPr>
          <w:p>
            <w:r>
              <w:rPr>
                <w:rFonts w:ascii="Georgia" w:cs="Georgia" w:eastAsia="Georgia" w:hAnsi="Georgia"/>
                <w:i/>
                <w:iCs/>
                <w:color w:val="B45309"/>
                <w:sz w:val="14"/>
                <w:szCs w:val="14"/>
              </w:rPr>
              <w:t xml:space="preserve">UU PDP (investor PII), OJK capital markets IT regulations</w:t>
            </w:r>
          </w:p>
        </w:tc>
      </w:tr>
      <w:tr>
        <w:tc>
          <w:tcPr>
            <w:tcW w:type="auto" w:w="1600"/>
            <w:tcBorders>
              <w:top w:val="single" w:color="DBEAFE" w:sz="1"/>
              <w:left w:val="single" w:color="DBEAFE" w:sz="1"/>
              <w:bottom w:val="single" w:color="DBEAFE" w:sz="1"/>
              <w:right w:val="single" w:color="DBEAFE" w:sz="1"/>
            </w:tcBorders>
            <w:shd w:fill="6D28D9" w:val="clear"/>
            <w:tcMar>
              <w:top w:type="dxa" w:w="100"/>
              <w:left w:type="dxa" w:w="110"/>
              <w:bottom w:type="dxa" w:w="100"/>
              <w:right w:type="dxa" w:w="110"/>
            </w:tcMar>
          </w:tcPr>
          <w:p>
            <w:r>
              <w:rPr>
                <w:rFonts w:ascii="Arial" w:cs="Arial" w:eastAsia="Arial" w:hAnsi="Arial"/>
                <w:b/>
                <w:bCs/>
                <w:color w:val="FFFFFF"/>
                <w:sz w:val="17"/>
                <w:szCs w:val="17"/>
              </w:rPr>
              <w:t xml:space="preserve">InsurTech</w:t>
            </w:r>
          </w:p>
        </w:tc>
        <w:tc>
          <w:tcPr>
            <w:tcW w:type="auto" w:w="1400"/>
            <w:tcBorders>
              <w:top w:val="single" w:color="DBEAFE" w:sz="1"/>
              <w:left w:val="single" w:color="DBEAFE" w:sz="1"/>
              <w:bottom w:val="single" w:color="DBEAFE" w:sz="1"/>
              <w:right w:val="single" w:color="DBEAFE" w:sz="1"/>
            </w:tcBorders>
            <w:shd w:fill="F3F4F6" w:val="clear"/>
            <w:tcMar>
              <w:top w:type="dxa" w:w="100"/>
              <w:left w:type="dxa" w:w="100"/>
              <w:bottom w:type="dxa" w:w="100"/>
              <w:right w:type="dxa" w:w="100"/>
            </w:tcMar>
          </w:tcPr>
          <w:p>
            <w:r>
              <w:rPr>
                <w:rFonts w:ascii="Georgia" w:cs="Georgia" w:eastAsia="Georgia" w:hAnsi="Georgia"/>
                <w:color w:val="111827"/>
                <w:sz w:val="16"/>
                <w:szCs w:val="16"/>
              </w:rPr>
              <w:t xml:space="preserve">OJK (POJK insurance regulations), BI (if offering insurance-linked payment products)</w:t>
            </w:r>
          </w:p>
        </w:tc>
        <w:tc>
          <w:tcPr>
            <w:tcW w:type="auto" w:w="2200"/>
            <w:tcBorders>
              <w:top w:val="single" w:color="DBEAFE" w:sz="1"/>
              <w:left w:val="single" w:color="DBEAFE" w:sz="1"/>
              <w:bottom w:val="single" w:color="DBEAFE" w:sz="1"/>
              <w:right w:val="single" w:color="DBEAFE" w:sz="1"/>
            </w:tcBorders>
            <w:shd w:fill="EBF2FB" w:val="clear"/>
            <w:tcMar>
              <w:top w:type="dxa" w:w="100"/>
              <w:left w:type="dxa" w:w="100"/>
              <w:bottom w:type="dxa" w:w="100"/>
              <w:right w:type="dxa" w:w="100"/>
            </w:tcMar>
          </w:tcPr>
          <w:p>
            <w:r>
              <w:rPr>
                <w:rFonts w:ascii="Georgia" w:cs="Georgia" w:eastAsia="Georgia" w:hAnsi="Georgia"/>
                <w:color w:val="111827"/>
                <w:sz w:val="16"/>
                <w:szCs w:val="16"/>
              </w:rPr>
              <w:t xml:space="preserve">Policyholder data protection, claims processing security, actuarial data integrity, distribution partner security, incident reporting to OJK</w:t>
            </w:r>
          </w:p>
        </w:tc>
        <w:tc>
          <w:tcPr>
            <w:tcW w:type="auto" w:w="2560"/>
            <w:tcBorders>
              <w:top w:val="single" w:color="DBEAFE" w:sz="1"/>
              <w:left w:val="single" w:color="DBEAFE" w:sz="1"/>
              <w:bottom w:val="single" w:color="DBEAFE" w:sz="1"/>
              <w:right w:val="single" w:color="DBEAFE" w:sz="1"/>
            </w:tcBorders>
            <w:shd w:fill="ECFDF5" w:val="clear"/>
            <w:tcMar>
              <w:top w:type="dxa" w:w="100"/>
              <w:left w:type="dxa" w:w="100"/>
              <w:bottom w:type="dxa" w:w="100"/>
              <w:right w:type="dxa" w:w="100"/>
            </w:tcMar>
          </w:tcPr>
          <w:p>
            <w:r>
              <w:rPr>
                <w:rFonts w:ascii="Georgia" w:cs="Georgia" w:eastAsia="Georgia" w:hAnsi="Georgia"/>
                <w:color w:val="065F46"/>
                <w:sz w:val="15"/>
                <w:szCs w:val="15"/>
              </w:rPr>
              <w:t xml:space="preserve">5.34 (policyholder PII including health data — specific personal data), 5.22 (insurance distribution partner monitoring), 8.29 (claims platform security testing), 5.26 (OJK incident notification)</w:t>
            </w:r>
          </w:p>
        </w:tc>
        <w:tc>
          <w:tcPr>
            <w:tcW w:type="auto" w:w="1600"/>
            <w:tcBorders>
              <w:top w:val="single" w:color="DBEAFE" w:sz="1"/>
              <w:left w:val="single" w:color="DBEAFE" w:sz="1"/>
              <w:bottom w:val="single" w:color="DBEAFE" w:sz="1"/>
              <w:right w:val="single" w:color="DBEAFE" w:sz="1"/>
            </w:tcBorders>
            <w:shd w:fill="FFFBEB" w:val="clear"/>
            <w:tcMar>
              <w:top w:type="dxa" w:w="100"/>
              <w:left w:type="dxa" w:w="100"/>
              <w:bottom w:type="dxa" w:w="100"/>
              <w:right w:type="dxa" w:w="100"/>
            </w:tcMar>
          </w:tcPr>
          <w:p>
            <w:r>
              <w:rPr>
                <w:rFonts w:ascii="Georgia" w:cs="Georgia" w:eastAsia="Georgia" w:hAnsi="Georgia"/>
                <w:i/>
                <w:iCs/>
                <w:color w:val="B45309"/>
                <w:sz w:val="14"/>
                <w:szCs w:val="14"/>
              </w:rPr>
              <w:t xml:space="preserve">UU PDP (health data as specific personal data requiring heightened protection)</w:t>
            </w:r>
          </w:p>
        </w:tc>
      </w:tr>
      <w:tr>
        <w:tc>
          <w:tcPr>
            <w:tcW w:type="auto" w:w="1600"/>
            <w:tcBorders>
              <w:top w:val="single" w:color="DBEAFE" w:sz="1"/>
              <w:left w:val="single" w:color="DBEAFE" w:sz="1"/>
              <w:bottom w:val="single" w:color="DBEAFE" w:sz="1"/>
              <w:right w:val="single" w:color="DBEAFE" w:sz="1"/>
            </w:tcBorders>
            <w:shd w:fill="B45309" w:val="clear"/>
            <w:tcMar>
              <w:top w:type="dxa" w:w="100"/>
              <w:left w:type="dxa" w:w="110"/>
              <w:bottom w:type="dxa" w:w="100"/>
              <w:right w:type="dxa" w:w="110"/>
            </w:tcMar>
          </w:tcPr>
          <w:p>
            <w:r>
              <w:rPr>
                <w:rFonts w:ascii="Arial" w:cs="Arial" w:eastAsia="Arial" w:hAnsi="Arial"/>
                <w:b/>
                <w:bCs/>
                <w:color w:val="FFFFFF"/>
                <w:sz w:val="17"/>
                <w:szCs w:val="17"/>
              </w:rPr>
              <w:t xml:space="preserve">RegTech / Compliance Tech</w:t>
            </w:r>
          </w:p>
        </w:tc>
        <w:tc>
          <w:tcPr>
            <w:tcW w:type="auto" w:w="1400"/>
            <w:tcBorders>
              <w:top w:val="single" w:color="DBEAFE" w:sz="1"/>
              <w:left w:val="single" w:color="DBEAFE" w:sz="1"/>
              <w:bottom w:val="single" w:color="DBEAFE" w:sz="1"/>
              <w:right w:val="single" w:color="DBEAFE" w:sz="1"/>
            </w:tcBorders>
            <w:shd w:fill="FFFFFF" w:val="clear"/>
            <w:tcMar>
              <w:top w:type="dxa" w:w="100"/>
              <w:left w:type="dxa" w:w="100"/>
              <w:bottom w:type="dxa" w:w="100"/>
              <w:right w:type="dxa" w:w="100"/>
            </w:tcMar>
          </w:tcPr>
          <w:p>
            <w:r>
              <w:rPr>
                <w:rFonts w:ascii="Georgia" w:cs="Georgia" w:eastAsia="Georgia" w:hAnsi="Georgia"/>
                <w:color w:val="111827"/>
                <w:sz w:val="16"/>
                <w:szCs w:val="16"/>
              </w:rPr>
              <w:t xml:space="preserve">OJK, BI, PPATK (for AML/CFT reporting tools), KOMINFO</w:t>
            </w:r>
          </w:p>
        </w:tc>
        <w:tc>
          <w:tcPr>
            <w:tcW w:type="auto" w:w="2200"/>
            <w:tcBorders>
              <w:top w:val="single" w:color="DBEAFE" w:sz="1"/>
              <w:left w:val="single" w:color="DBEAFE" w:sz="1"/>
              <w:bottom w:val="single" w:color="DBEAFE" w:sz="1"/>
              <w:right w:val="single" w:color="DBEAFE" w:sz="1"/>
            </w:tcBorders>
            <w:shd w:fill="F0F7FF" w:val="clear"/>
            <w:tcMar>
              <w:top w:type="dxa" w:w="100"/>
              <w:left w:type="dxa" w:w="100"/>
              <w:bottom w:type="dxa" w:w="100"/>
              <w:right w:type="dxa" w:w="100"/>
            </w:tcMar>
          </w:tcPr>
          <w:p>
            <w:r>
              <w:rPr>
                <w:rFonts w:ascii="Georgia" w:cs="Georgia" w:eastAsia="Georgia" w:hAnsi="Georgia"/>
                <w:color w:val="111827"/>
                <w:sz w:val="16"/>
                <w:szCs w:val="16"/>
              </w:rPr>
              <w:t xml:space="preserve">Financial crime data handling, AML/CFT reporting security, regulatory data submission integrity, multi-regulator data access controls, audit trail for all compliance decisions</w:t>
            </w:r>
          </w:p>
        </w:tc>
        <w:tc>
          <w:tcPr>
            <w:tcW w:type="auto" w:w="2560"/>
            <w:tcBorders>
              <w:top w:val="single" w:color="DBEAFE" w:sz="1"/>
              <w:left w:val="single" w:color="DBEAFE" w:sz="1"/>
              <w:bottom w:val="single" w:color="DBEAFE" w:sz="1"/>
              <w:right w:val="single" w:color="DBEAFE" w:sz="1"/>
            </w:tcBorders>
            <w:shd w:fill="ECFDF5" w:val="clear"/>
            <w:tcMar>
              <w:top w:type="dxa" w:w="100"/>
              <w:left w:type="dxa" w:w="100"/>
              <w:bottom w:type="dxa" w:w="100"/>
              <w:right w:type="dxa" w:w="100"/>
            </w:tcMar>
          </w:tcPr>
          <w:p>
            <w:r>
              <w:rPr>
                <w:rFonts w:ascii="Georgia" w:cs="Georgia" w:eastAsia="Georgia" w:hAnsi="Georgia"/>
                <w:color w:val="065F46"/>
                <w:sz w:val="15"/>
                <w:szCs w:val="15"/>
              </w:rPr>
              <w:t xml:space="preserve">5.12 (classification of regulatory data), 8.15 (immutable audit logs), 5.31 (legal requirements — AML/CFT law), 5.3 (segregation of duties for AML decisions), 5.28 (evidence collection for regulatory purposes)</w:t>
            </w:r>
          </w:p>
        </w:tc>
        <w:tc>
          <w:tcPr>
            <w:tcW w:type="auto" w:w="1600"/>
            <w:tcBorders>
              <w:top w:val="single" w:color="DBEAFE" w:sz="1"/>
              <w:left w:val="single" w:color="DBEAFE" w:sz="1"/>
              <w:bottom w:val="single" w:color="DBEAFE" w:sz="1"/>
              <w:right w:val="single" w:color="DBEAFE" w:sz="1"/>
            </w:tcBorders>
            <w:shd w:fill="FFFBEB" w:val="clear"/>
            <w:tcMar>
              <w:top w:type="dxa" w:w="100"/>
              <w:left w:type="dxa" w:w="100"/>
              <w:bottom w:type="dxa" w:w="100"/>
              <w:right w:type="dxa" w:w="100"/>
            </w:tcMar>
          </w:tcPr>
          <w:p>
            <w:r>
              <w:rPr>
                <w:rFonts w:ascii="Georgia" w:cs="Georgia" w:eastAsia="Georgia" w:hAnsi="Georgia"/>
                <w:i/>
                <w:iCs/>
                <w:color w:val="B45309"/>
                <w:sz w:val="14"/>
                <w:szCs w:val="14"/>
              </w:rPr>
              <w:t xml:space="preserve">UU PDP, PPATK data security requirements for AML reporting</w:t>
            </w:r>
          </w:p>
        </w:tc>
      </w:tr>
    </w:tbl>
    <w:p>
      <w:pPr>
        <w:spacing w:after="16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480"/>
        <w:gridCol w:w="8880"/>
      </w:tblGrid>
      <w:tr>
        <w:tc>
          <w:tcPr>
            <w:tcW w:type="dxa" w:w="480"/>
            <w:tcBorders>
              <w:top w:val="single" w:color="C7D9F0" w:sz="1"/>
              <w:left w:val="single" w:color="C7D9F0" w:sz="1"/>
              <w:bottom w:val="single" w:color="C7D9F0" w:sz="1"/>
              <w:right w:val="none" w:color="FFFFFF" w:sz="0"/>
            </w:tcBorders>
            <w:shd w:fill="2563A8" w:val="clear"/>
            <w:tcMar>
              <w:top w:type="dxa" w:w="120"/>
              <w:left w:type="dxa" w:w="160"/>
              <w:bottom w:type="dxa" w:w="120"/>
              <w:right w:type="dxa" w:w="80"/>
            </w:tcMar>
            <w:vAlign w:val="center"/>
          </w:tcPr>
          <w:p>
            <w:pPr>
              <w:jc w:val="center"/>
            </w:pPr>
            <w:r>
              <w:rPr>
                <w:rFonts w:ascii="Arial" w:cs="Arial" w:eastAsia="Arial" w:hAnsi="Arial"/>
                <w:b/>
                <w:bCs/>
                <w:color w:val="FFFFFF"/>
                <w:sz w:val="17"/>
                <w:szCs w:val="17"/>
              </w:rPr>
              <w:t xml:space="preserve">THE DUAL-REGULATOR CHALLENGE</w:t>
            </w:r>
          </w:p>
        </w:tc>
        <w:tc>
          <w:tcPr>
            <w:tcW w:type="dxa" w:w="8880"/>
            <w:tcBorders>
              <w:top w:val="single" w:color="C7D9F0" w:sz="1"/>
              <w:left w:val="none" w:color="FFFFFF" w:sz="0"/>
              <w:bottom w:val="single" w:color="C7D9F0" w:sz="1"/>
              <w:right w:val="single" w:color="C7D9F0" w:sz="1"/>
            </w:tcBorders>
            <w:shd w:fill="EBF2FB" w:val="clear"/>
            <w:tcMar>
              <w:top w:type="dxa" w:w="120"/>
              <w:left w:type="dxa" w:w="160"/>
              <w:bottom w:type="dxa" w:w="120"/>
              <w:right w:type="dxa" w:w="160"/>
            </w:tcMar>
          </w:tcPr>
          <w:p>
            <w:r>
              <w:rPr>
                <w:rFonts w:ascii="Georgia" w:cs="Georgia" w:eastAsia="Georgia" w:hAnsi="Georgia"/>
                <w:i/>
                <w:iCs/>
                <w:color w:val="1B3A5C"/>
                <w:sz w:val="21"/>
                <w:szCs w:val="21"/>
              </w:rPr>
              <w:t xml:space="preserve">Many Indonesian fintech organizations are subject to both BI and OJK simultaneously — a P2P lending platform that uses a payment API is regulated by OJK (lending license) and BI (as a payment system participant). A bank-affiliated digital wallet is regulated by OJK (banking license) and BI (e-money or PSP license). The ISMS must explicitly address both regulators' requirements without creating duplicated evidence libraries. The approach: a single evidence library with regulator-specific tagging, a single incident register with regulator-specific notification steps, and a single risk register with regulator-specific risk categorization.</w:t>
            </w:r>
          </w:p>
        </w:tc>
      </w:tr>
    </w:tbl>
    <w:p>
      <w:pPr>
        <w:spacing w:after="200"/>
      </w:pPr>
      <w:r>
        <w:t xml:space="preserve"/>
      </w:r>
    </w:p>
    <w:p>
      <w:pPr>
        <w:pStyle w:val="Heading2"/>
        <w:pBdr>
          <w:bottom w:val="single" w:color="2563A8" w:sz="4" w:space="4"/>
        </w:pBdr>
        <w:spacing w:before="400" w:after="160"/>
      </w:pPr>
      <w:r>
        <w:rPr>
          <w:rFonts w:ascii="Arial" w:cs="Arial" w:eastAsia="Arial" w:hAnsi="Arial"/>
          <w:b/>
          <w:bCs/>
          <w:color w:val="1B3A5C"/>
          <w:sz w:val="28"/>
          <w:szCs w:val="28"/>
        </w:rPr>
        <w:t xml:space="preserve">Licensing-Aligned Implementation Sequence</w:t>
      </w:r>
    </w:p>
    <w:p>
      <w:pPr>
        <w:spacing w:after="80"/>
      </w:pPr>
      <w:r>
        <w:t xml:space="preserve"/>
      </w:r>
    </w:p>
    <w:p>
      <w:pPr>
        <w:spacing w:after="160" w:line="320"/>
        <w:jc w:val="both"/>
      </w:pPr>
      <w:r>
        <w:rPr>
          <w:rFonts w:ascii="Georgia" w:cs="Georgia" w:eastAsia="Georgia" w:hAnsi="Georgia"/>
          <w:color w:val="111827"/>
          <w:sz w:val="22"/>
          <w:szCs w:val="22"/>
        </w:rPr>
        <w:t xml:space="preserve">The most common mistake in fintech ISO 27001 implementation is treating it as a post-licensing activity — something to do after the BI or OJK license is secured. This approach misses the most valuable use of ISO 27001: as evidence of security management capability during the licensing process itself. The implementation sequence below aligns ISMS delivery with licensing timelines to maximize the regulatory value of each implementation activity:</w:t>
      </w:r>
    </w:p>
    <w:p>
      <w:pPr>
        <w:spacing w:after="12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2000"/>
        <w:gridCol w:w="1200"/>
        <w:gridCol w:w="3160"/>
        <w:gridCol w:w="1600"/>
        <w:gridCol w:w="1400"/>
      </w:tblGrid>
      <w:tr>
        <w:tc>
          <w:tcPr>
            <w:tcW w:type="dxa" w:w="2000"/>
            <w:tcBorders>
              <w:top w:val="single" w:color="DBEAFE" w:sz="1"/>
              <w:left w:val="single" w:color="DBEAFE" w:sz="1"/>
              <w:bottom w:val="single" w:color="DBEAFE" w:sz="1"/>
              <w:right w:val="single" w:color="DBEAFE" w:sz="1"/>
            </w:tcBorders>
            <w:shd w:fill="1B3A5C" w:val="clear"/>
            <w:tcMar>
              <w:top w:type="dxa" w:w="90"/>
              <w:left w:type="dxa" w:w="110"/>
              <w:bottom w:type="dxa" w:w="90"/>
              <w:right w:type="dxa" w:w="110"/>
            </w:tcMar>
          </w:tcPr>
          <w:p>
            <w:r>
              <w:rPr>
                <w:rFonts w:ascii="Arial" w:cs="Arial" w:eastAsia="Arial" w:hAnsi="Arial"/>
                <w:b/>
                <w:bCs/>
                <w:color w:val="FFFFFF"/>
                <w:sz w:val="18"/>
                <w:szCs w:val="18"/>
              </w:rPr>
              <w:t xml:space="preserve">Stage</w:t>
            </w:r>
          </w:p>
        </w:tc>
        <w:tc>
          <w:tcPr>
            <w:tcW w:type="dxa" w:w="1200"/>
            <w:tcBorders>
              <w:top w:val="single" w:color="DBEAFE" w:sz="1"/>
              <w:left w:val="single" w:color="DBEAFE" w:sz="1"/>
              <w:bottom w:val="single" w:color="DBEAFE" w:sz="1"/>
              <w:right w:val="single" w:color="DBEAFE" w:sz="1"/>
            </w:tcBorders>
            <w:shd w:fill="1B3A5C" w:val="clear"/>
            <w:tcMar>
              <w:top w:type="dxa" w:w="90"/>
              <w:left w:type="dxa" w:w="110"/>
              <w:bottom w:type="dxa" w:w="90"/>
              <w:right w:type="dxa" w:w="110"/>
            </w:tcMar>
          </w:tcPr>
          <w:p>
            <w:r>
              <w:rPr>
                <w:rFonts w:ascii="Arial" w:cs="Arial" w:eastAsia="Arial" w:hAnsi="Arial"/>
                <w:b/>
                <w:bCs/>
                <w:color w:val="FFFFFF"/>
                <w:sz w:val="18"/>
                <w:szCs w:val="18"/>
              </w:rPr>
              <w:t xml:space="preserve">Priority</w:t>
            </w:r>
          </w:p>
        </w:tc>
        <w:tc>
          <w:tcPr>
            <w:tcW w:type="dxa" w:w="3160"/>
            <w:tcBorders>
              <w:top w:val="single" w:color="DBEAFE" w:sz="1"/>
              <w:left w:val="single" w:color="DBEAFE" w:sz="1"/>
              <w:bottom w:val="single" w:color="DBEAFE" w:sz="1"/>
              <w:right w:val="single" w:color="DBEAFE" w:sz="1"/>
            </w:tcBorders>
            <w:shd w:fill="1B3A5C" w:val="clear"/>
            <w:tcMar>
              <w:top w:type="dxa" w:w="90"/>
              <w:left w:type="dxa" w:w="110"/>
              <w:bottom w:type="dxa" w:w="90"/>
              <w:right w:type="dxa" w:w="110"/>
            </w:tcMar>
          </w:tcPr>
          <w:p>
            <w:r>
              <w:rPr>
                <w:rFonts w:ascii="Arial" w:cs="Arial" w:eastAsia="Arial" w:hAnsi="Arial"/>
                <w:b/>
                <w:bCs/>
                <w:color w:val="FFFFFF"/>
                <w:sz w:val="18"/>
                <w:szCs w:val="18"/>
              </w:rPr>
              <w:t xml:space="preserve">ISMS actions</w:t>
            </w:r>
          </w:p>
        </w:tc>
        <w:tc>
          <w:tcPr>
            <w:tcW w:type="dxa" w:w="1600"/>
            <w:tcBorders>
              <w:top w:val="single" w:color="DBEAFE" w:sz="1"/>
              <w:left w:val="single" w:color="DBEAFE" w:sz="1"/>
              <w:bottom w:val="single" w:color="DBEAFE" w:sz="1"/>
              <w:right w:val="single" w:color="DBEAFE" w:sz="1"/>
            </w:tcBorders>
            <w:shd w:fill="1B3A5C" w:val="clear"/>
            <w:tcMar>
              <w:top w:type="dxa" w:w="90"/>
              <w:left w:type="dxa" w:w="110"/>
              <w:bottom w:type="dxa" w:w="90"/>
              <w:right w:type="dxa" w:w="110"/>
            </w:tcMar>
          </w:tcPr>
          <w:p>
            <w:r>
              <w:rPr>
                <w:rFonts w:ascii="Arial" w:cs="Arial" w:eastAsia="Arial" w:hAnsi="Arial"/>
                <w:b/>
                <w:bCs/>
                <w:color w:val="FFFFFF"/>
                <w:sz w:val="18"/>
                <w:szCs w:val="18"/>
              </w:rPr>
              <w:t xml:space="preserve">Licensing value</w:t>
            </w:r>
          </w:p>
        </w:tc>
        <w:tc>
          <w:tcPr>
            <w:tcW w:type="dxa" w:w="1400"/>
            <w:tcBorders>
              <w:top w:val="single" w:color="DBEAFE" w:sz="1"/>
              <w:left w:val="single" w:color="DBEAFE" w:sz="1"/>
              <w:bottom w:val="single" w:color="DBEAFE" w:sz="1"/>
              <w:right w:val="single" w:color="DBEAFE" w:sz="1"/>
            </w:tcBorders>
            <w:shd w:fill="1B3A5C" w:val="clear"/>
            <w:tcMar>
              <w:top w:type="dxa" w:w="90"/>
              <w:left w:type="dxa" w:w="110"/>
              <w:bottom w:type="dxa" w:w="90"/>
              <w:right w:type="dxa" w:w="110"/>
            </w:tcMar>
          </w:tcPr>
          <w:p>
            <w:r>
              <w:rPr>
                <w:rFonts w:ascii="Arial" w:cs="Arial" w:eastAsia="Arial" w:hAnsi="Arial"/>
                <w:b/>
                <w:bCs/>
                <w:color w:val="FFFFFF"/>
                <w:sz w:val="18"/>
                <w:szCs w:val="18"/>
              </w:rPr>
              <w:t xml:space="preserve">Timeline</w:t>
            </w:r>
          </w:p>
        </w:tc>
      </w:tr>
      <w:tr>
        <w:tc>
          <w:tcPr>
            <w:tcW w:type="auto" w:w="2000"/>
            <w:tcBorders>
              <w:top w:val="single" w:color="DBEAFE" w:sz="1"/>
              <w:left w:val="single" w:color="DBEAFE" w:sz="1"/>
              <w:bottom w:val="single" w:color="DBEAFE" w:sz="1"/>
              <w:right w:val="single" w:color="DBEAFE" w:sz="1"/>
            </w:tcBorders>
            <w:shd w:fill="1B3A5C" w:val="clear"/>
            <w:tcMar>
              <w:top w:type="dxa" w:w="110"/>
              <w:left w:type="dxa" w:w="110"/>
              <w:bottom w:type="dxa" w:w="110"/>
              <w:right w:type="dxa" w:w="110"/>
            </w:tcMar>
          </w:tcPr>
          <w:p>
            <w:r>
              <w:rPr>
                <w:rFonts w:ascii="Arial" w:cs="Arial" w:eastAsia="Arial" w:hAnsi="Arial"/>
                <w:b/>
                <w:bCs/>
                <w:color w:val="FFFFFF"/>
                <w:sz w:val="17"/>
                <w:szCs w:val="17"/>
              </w:rPr>
              <w:t xml:space="preserve">Pre-licensing (0–6 months before BI/OJK application)</w:t>
            </w:r>
          </w:p>
        </w:tc>
        <w:tc>
          <w:tcPr>
            <w:tcW w:type="auto" w:w="1200"/>
            <w:tcBorders>
              <w:top w:val="single" w:color="DBEAFE" w:sz="1"/>
              <w:left w:val="single" w:color="DBEAFE" w:sz="1"/>
              <w:bottom w:val="single" w:color="DBEAFE" w:sz="1"/>
              <w:right w:val="single" w:color="DBEAFE" w:sz="1"/>
            </w:tcBorders>
            <w:shd w:fill="F3F4F6" w:val="clear"/>
            <w:tcMar>
              <w:top w:type="dxa" w:w="110"/>
              <w:left w:type="dxa" w:w="100"/>
              <w:bottom w:type="dxa" w:w="110"/>
              <w:right w:type="dxa" w:w="100"/>
            </w:tcMar>
          </w:tcPr>
          <w:p>
            <w:r>
              <w:rPr>
                <w:rFonts w:ascii="Georgia" w:cs="Georgia" w:eastAsia="Georgia" w:hAnsi="Georgia"/>
                <w:i/>
                <w:iCs/>
                <w:color w:val="111827"/>
                <w:sz w:val="16"/>
                <w:szCs w:val="16"/>
              </w:rPr>
              <w:t xml:space="preserve">Establish governance foundation — demonstrate to regulators that security is designed-in, not bolted on.</w:t>
            </w:r>
          </w:p>
        </w:tc>
        <w:tc>
          <w:tcPr>
            <w:tcW w:type="auto" w:w="3160"/>
            <w:tcBorders>
              <w:top w:val="single" w:color="DBEAFE" w:sz="1"/>
              <w:left w:val="single" w:color="DBEAFE" w:sz="1"/>
              <w:bottom w:val="single" w:color="DBEAFE" w:sz="1"/>
              <w:right w:val="single" w:color="DBEAFE" w:sz="1"/>
            </w:tcBorders>
            <w:shd w:fill="EBF2FB" w:val="clear"/>
            <w:tcMar>
              <w:top w:type="dxa" w:w="110"/>
              <w:left w:type="dxa" w:w="110"/>
              <w:bottom w:type="dxa" w:w="110"/>
              <w:right w:type="dxa" w:w="110"/>
            </w:tcMar>
          </w:tcPr>
          <w:p>
            <w:pPr>
              <w:pStyle w:val="ListParagraph"/>
              <w:numPr>
                <w:ilvl w:val="0"/>
                <w:numId w:val="2"/>
              </w:numPr>
              <w:spacing w:after="50"/>
            </w:pPr>
            <w:r>
              <w:rPr>
                <w:rFonts w:ascii="Georgia" w:cs="Georgia" w:eastAsia="Georgia" w:hAnsi="Georgia"/>
                <w:color w:val="111827"/>
                <w:sz w:val="16"/>
                <w:szCs w:val="16"/>
              </w:rPr>
              <w:t xml:space="preserve">Define ISMS scope explicitly referencing licensed service, data types, and infrastructure location (Jakarta region for payment data)</w:t>
            </w:r>
          </w:p>
          <w:p>
            <w:pPr>
              <w:pStyle w:val="ListParagraph"/>
              <w:numPr>
                <w:ilvl w:val="0"/>
                <w:numId w:val="2"/>
              </w:numPr>
              <w:spacing w:after="50"/>
            </w:pPr>
            <w:r>
              <w:rPr>
                <w:rFonts w:ascii="Georgia" w:cs="Georgia" w:eastAsia="Georgia" w:hAnsi="Georgia"/>
                <w:color w:val="111827"/>
                <w:sz w:val="16"/>
                <w:szCs w:val="16"/>
              </w:rPr>
              <w:t xml:space="preserve">Develop IS Policy with UU PDP and applicable PBI/POJK references by article number</w:t>
            </w:r>
          </w:p>
          <w:p>
            <w:pPr>
              <w:pStyle w:val="ListParagraph"/>
              <w:numPr>
                <w:ilvl w:val="0"/>
                <w:numId w:val="2"/>
              </w:numPr>
              <w:spacing w:after="50"/>
            </w:pPr>
            <w:r>
              <w:rPr>
                <w:rFonts w:ascii="Georgia" w:cs="Georgia" w:eastAsia="Georgia" w:hAnsi="Georgia"/>
                <w:color w:val="111827"/>
                <w:sz w:val="16"/>
                <w:szCs w:val="16"/>
              </w:rPr>
              <w:t xml:space="preserve">Conduct initial risk assessment covering: technology risks, regulatory risks, payment fraud risks, and customer data risks</w:t>
            </w:r>
          </w:p>
          <w:p>
            <w:pPr>
              <w:pStyle w:val="ListParagraph"/>
              <w:numPr>
                <w:ilvl w:val="0"/>
                <w:numId w:val="2"/>
              </w:numPr>
              <w:spacing w:after="50"/>
            </w:pPr>
            <w:r>
              <w:rPr>
                <w:rFonts w:ascii="Georgia" w:cs="Georgia" w:eastAsia="Georgia" w:hAnsi="Georgia"/>
                <w:color w:val="111827"/>
                <w:sz w:val="16"/>
                <w:szCs w:val="16"/>
              </w:rPr>
              <w:t xml:space="preserve">Develop SoA — prioritize controls required by BI/OJK regulations as applicable regardless of internal risk score</w:t>
            </w:r>
          </w:p>
        </w:tc>
        <w:tc>
          <w:tcPr>
            <w:tcW w:type="auto" w:w="1600"/>
            <w:tcBorders>
              <w:top w:val="single" w:color="DBEAFE" w:sz="1"/>
              <w:left w:val="single" w:color="DBEAFE" w:sz="1"/>
              <w:bottom w:val="single" w:color="DBEAFE" w:sz="1"/>
              <w:right w:val="single" w:color="DBEAFE" w:sz="1"/>
            </w:tcBorders>
            <w:shd w:fill="ECFDF5" w:val="clear"/>
            <w:tcMar>
              <w:top w:type="dxa" w:w="110"/>
              <w:left w:type="dxa" w:w="100"/>
              <w:bottom w:type="dxa" w:w="110"/>
              <w:right w:type="dxa" w:w="100"/>
            </w:tcMar>
          </w:tcPr>
          <w:p>
            <w:r>
              <w:rPr>
                <w:rFonts w:ascii="Georgia" w:cs="Georgia" w:eastAsia="Georgia" w:hAnsi="Georgia"/>
                <w:i/>
                <w:iCs/>
                <w:color w:val="065F46"/>
                <w:sz w:val="16"/>
                <w:szCs w:val="16"/>
              </w:rPr>
              <w:t xml:space="preserve">BI and OJK application packages request: IS Policy, risk management framework, IT governance structure. Submitting these as ISMS artifacts demonstrates systematic security management.</w:t>
            </w:r>
          </w:p>
        </w:tc>
        <w:tc>
          <w:tcPr>
            <w:tcW w:type="auto" w:w="1400"/>
            <w:tcBorders>
              <w:top w:val="single" w:color="DBEAFE" w:sz="1"/>
              <w:left w:val="single" w:color="DBEAFE" w:sz="1"/>
              <w:bottom w:val="single" w:color="DBEAFE" w:sz="1"/>
              <w:right w:val="single" w:color="DBEAFE" w:sz="1"/>
            </w:tcBorders>
            <w:shd w:fill="FFFBEB" w:val="clear"/>
            <w:tcMar>
              <w:top w:type="dxa" w:w="110"/>
              <w:left w:type="dxa" w:w="100"/>
              <w:bottom w:type="dxa" w:w="110"/>
              <w:right w:type="dxa" w:w="100"/>
            </w:tcMar>
          </w:tcPr>
          <w:p>
            <w:r>
              <w:rPr>
                <w:rFonts w:ascii="Georgia" w:cs="Georgia" w:eastAsia="Georgia" w:hAnsi="Georgia"/>
                <w:color w:val="B45309"/>
                <w:sz w:val="15"/>
                <w:szCs w:val="15"/>
              </w:rPr>
              <w:t xml:space="preserve">Months 1–4: IS Policy, risk assessment, initial control selection. Month 5–6: Document package assembly for licensing application.</w:t>
            </w:r>
          </w:p>
        </w:tc>
      </w:tr>
      <w:tr>
        <w:tc>
          <w:tcPr>
            <w:tcW w:type="auto" w:w="2000"/>
            <w:tcBorders>
              <w:top w:val="single" w:color="DBEAFE" w:sz="1"/>
              <w:left w:val="single" w:color="DBEAFE" w:sz="1"/>
              <w:bottom w:val="single" w:color="DBEAFE" w:sz="1"/>
              <w:right w:val="single" w:color="DBEAFE" w:sz="1"/>
            </w:tcBorders>
            <w:shd w:fill="2563A8" w:val="clear"/>
            <w:tcMar>
              <w:top w:type="dxa" w:w="110"/>
              <w:left w:type="dxa" w:w="110"/>
              <w:bottom w:type="dxa" w:w="110"/>
              <w:right w:type="dxa" w:w="110"/>
            </w:tcMar>
          </w:tcPr>
          <w:p>
            <w:r>
              <w:rPr>
                <w:rFonts w:ascii="Arial" w:cs="Arial" w:eastAsia="Arial" w:hAnsi="Arial"/>
                <w:b/>
                <w:bCs/>
                <w:color w:val="FFFFFF"/>
                <w:sz w:val="17"/>
                <w:szCs w:val="17"/>
              </w:rPr>
              <w:t xml:space="preserve">Licensing period (during BI/OJK review, 6–12 months)</w:t>
            </w:r>
          </w:p>
        </w:tc>
        <w:tc>
          <w:tcPr>
            <w:tcW w:type="auto" w:w="1200"/>
            <w:tcBorders>
              <w:top w:val="single" w:color="DBEAFE" w:sz="1"/>
              <w:left w:val="single" w:color="DBEAFE" w:sz="1"/>
              <w:bottom w:val="single" w:color="DBEAFE" w:sz="1"/>
              <w:right w:val="single" w:color="DBEAFE" w:sz="1"/>
            </w:tcBorders>
            <w:shd w:fill="FFFFFF" w:val="clear"/>
            <w:tcMar>
              <w:top w:type="dxa" w:w="110"/>
              <w:left w:type="dxa" w:w="100"/>
              <w:bottom w:type="dxa" w:w="110"/>
              <w:right w:type="dxa" w:w="100"/>
            </w:tcMar>
          </w:tcPr>
          <w:p>
            <w:r>
              <w:rPr>
                <w:rFonts w:ascii="Georgia" w:cs="Georgia" w:eastAsia="Georgia" w:hAnsi="Georgia"/>
                <w:i/>
                <w:iCs/>
                <w:color w:val="111827"/>
                <w:sz w:val="16"/>
                <w:szCs w:val="16"/>
              </w:rPr>
              <w:t xml:space="preserve">Deploy controls required for licensing conditions — particularly payment security controls, availability infrastructure, and data localization.</w:t>
            </w:r>
          </w:p>
        </w:tc>
        <w:tc>
          <w:tcPr>
            <w:tcW w:type="auto" w:w="3160"/>
            <w:tcBorders>
              <w:top w:val="single" w:color="DBEAFE" w:sz="1"/>
              <w:left w:val="single" w:color="DBEAFE" w:sz="1"/>
              <w:bottom w:val="single" w:color="DBEAFE" w:sz="1"/>
              <w:right w:val="single" w:color="DBEAFE" w:sz="1"/>
            </w:tcBorders>
            <w:shd w:fill="F0F7FF" w:val="clear"/>
            <w:tcMar>
              <w:top w:type="dxa" w:w="110"/>
              <w:left w:type="dxa" w:w="110"/>
              <w:bottom w:type="dxa" w:w="110"/>
              <w:right w:type="dxa" w:w="110"/>
            </w:tcMar>
          </w:tcPr>
          <w:p>
            <w:pPr>
              <w:pStyle w:val="ListParagraph"/>
              <w:numPr>
                <w:ilvl w:val="0"/>
                <w:numId w:val="2"/>
              </w:numPr>
              <w:spacing w:after="50"/>
            </w:pPr>
            <w:r>
              <w:rPr>
                <w:rFonts w:ascii="Georgia" w:cs="Georgia" w:eastAsia="Georgia" w:hAnsi="Georgia"/>
                <w:color w:val="111827"/>
                <w:sz w:val="16"/>
                <w:szCs w:val="16"/>
              </w:rPr>
              <w:t xml:space="preserve">Deploy MFA for all payment authorization interfaces</w:t>
            </w:r>
          </w:p>
          <w:p>
            <w:pPr>
              <w:pStyle w:val="ListParagraph"/>
              <w:numPr>
                <w:ilvl w:val="0"/>
                <w:numId w:val="2"/>
              </w:numPr>
              <w:spacing w:after="50"/>
            </w:pPr>
            <w:r>
              <w:rPr>
                <w:rFonts w:ascii="Georgia" w:cs="Georgia" w:eastAsia="Georgia" w:hAnsi="Georgia"/>
                <w:color w:val="111827"/>
                <w:sz w:val="16"/>
                <w:szCs w:val="16"/>
              </w:rPr>
              <w:t xml:space="preserve">Configure payment data to Indonesian region (AWS ap-southeast-3 / GCP asia-southeast2)</w:t>
            </w:r>
          </w:p>
          <w:p>
            <w:pPr>
              <w:pStyle w:val="ListParagraph"/>
              <w:numPr>
                <w:ilvl w:val="0"/>
                <w:numId w:val="2"/>
              </w:numPr>
              <w:spacing w:after="50"/>
            </w:pPr>
            <w:r>
              <w:rPr>
                <w:rFonts w:ascii="Georgia" w:cs="Georgia" w:eastAsia="Georgia" w:hAnsi="Georgia"/>
                <w:color w:val="111827"/>
                <w:sz w:val="16"/>
                <w:szCs w:val="16"/>
              </w:rPr>
              <w:t xml:space="preserve">Implement fraud monitoring with real-time alerting</w:t>
            </w:r>
          </w:p>
          <w:p>
            <w:pPr>
              <w:pStyle w:val="ListParagraph"/>
              <w:numPr>
                <w:ilvl w:val="0"/>
                <w:numId w:val="2"/>
              </w:numPr>
              <w:spacing w:after="50"/>
            </w:pPr>
            <w:r>
              <w:rPr>
                <w:rFonts w:ascii="Georgia" w:cs="Georgia" w:eastAsia="Georgia" w:hAnsi="Georgia"/>
                <w:color w:val="111827"/>
                <w:sz w:val="16"/>
                <w:szCs w:val="16"/>
              </w:rPr>
              <w:t xml:space="preserve">Establish incident response procedure with BI 2-hour and OJK 3×24-hour notification steps</w:t>
            </w:r>
          </w:p>
          <w:p>
            <w:pPr>
              <w:pStyle w:val="ListParagraph"/>
              <w:numPr>
                <w:ilvl w:val="0"/>
                <w:numId w:val="2"/>
              </w:numPr>
              <w:spacing w:after="50"/>
            </w:pPr>
            <w:r>
              <w:rPr>
                <w:rFonts w:ascii="Georgia" w:cs="Georgia" w:eastAsia="Georgia" w:hAnsi="Georgia"/>
                <w:color w:val="111827"/>
                <w:sz w:val="16"/>
                <w:szCs w:val="16"/>
              </w:rPr>
              <w:t xml:space="preserve">Deploy logging for all payment transactions</w:t>
            </w:r>
          </w:p>
        </w:tc>
        <w:tc>
          <w:tcPr>
            <w:tcW w:type="auto" w:w="1600"/>
            <w:tcBorders>
              <w:top w:val="single" w:color="DBEAFE" w:sz="1"/>
              <w:left w:val="single" w:color="DBEAFE" w:sz="1"/>
              <w:bottom w:val="single" w:color="DBEAFE" w:sz="1"/>
              <w:right w:val="single" w:color="DBEAFE" w:sz="1"/>
            </w:tcBorders>
            <w:shd w:fill="ECFDF5" w:val="clear"/>
            <w:tcMar>
              <w:top w:type="dxa" w:w="110"/>
              <w:left w:type="dxa" w:w="100"/>
              <w:bottom w:type="dxa" w:w="110"/>
              <w:right w:type="dxa" w:w="100"/>
            </w:tcMar>
          </w:tcPr>
          <w:p>
            <w:r>
              <w:rPr>
                <w:rFonts w:ascii="Georgia" w:cs="Georgia" w:eastAsia="Georgia" w:hAnsi="Georgia"/>
                <w:i/>
                <w:iCs/>
                <w:color w:val="065F46"/>
                <w:sz w:val="16"/>
                <w:szCs w:val="16"/>
              </w:rPr>
              <w:t xml:space="preserve">BI/OJK may conduct a pre-license technical inspection. Evidence of deployed controls (MFA report, data localization architecture, fraud monitoring configuration) satisfies inspection requirements.</w:t>
            </w:r>
          </w:p>
        </w:tc>
        <w:tc>
          <w:tcPr>
            <w:tcW w:type="auto" w:w="1400"/>
            <w:tcBorders>
              <w:top w:val="single" w:color="DBEAFE" w:sz="1"/>
              <w:left w:val="single" w:color="DBEAFE" w:sz="1"/>
              <w:bottom w:val="single" w:color="DBEAFE" w:sz="1"/>
              <w:right w:val="single" w:color="DBEAFE" w:sz="1"/>
            </w:tcBorders>
            <w:shd w:fill="FFFBEB" w:val="clear"/>
            <w:tcMar>
              <w:top w:type="dxa" w:w="110"/>
              <w:left w:type="dxa" w:w="100"/>
              <w:bottom w:type="dxa" w:w="110"/>
              <w:right w:type="dxa" w:w="100"/>
            </w:tcMar>
          </w:tcPr>
          <w:p>
            <w:r>
              <w:rPr>
                <w:rFonts w:ascii="Georgia" w:cs="Georgia" w:eastAsia="Georgia" w:hAnsi="Georgia"/>
                <w:color w:val="B45309"/>
                <w:sz w:val="15"/>
                <w:szCs w:val="15"/>
              </w:rPr>
              <w:t xml:space="preserve">Months 6–12: Technical control deployment and evidence collection. Target ISO 27001 Stage 1 audit during this period.</w:t>
            </w:r>
          </w:p>
        </w:tc>
      </w:tr>
      <w:tr>
        <w:tc>
          <w:tcPr>
            <w:tcW w:type="auto" w:w="2000"/>
            <w:tcBorders>
              <w:top w:val="single" w:color="DBEAFE" w:sz="1"/>
              <w:left w:val="single" w:color="DBEAFE" w:sz="1"/>
              <w:bottom w:val="single" w:color="DBEAFE" w:sz="1"/>
              <w:right w:val="single" w:color="DBEAFE" w:sz="1"/>
            </w:tcBorders>
            <w:shd w:fill="0F766E" w:val="clear"/>
            <w:tcMar>
              <w:top w:type="dxa" w:w="110"/>
              <w:left w:type="dxa" w:w="110"/>
              <w:bottom w:type="dxa" w:w="110"/>
              <w:right w:type="dxa" w:w="110"/>
            </w:tcMar>
          </w:tcPr>
          <w:p>
            <w:r>
              <w:rPr>
                <w:rFonts w:ascii="Arial" w:cs="Arial" w:eastAsia="Arial" w:hAnsi="Arial"/>
                <w:b/>
                <w:bCs/>
                <w:color w:val="FFFFFF"/>
                <w:sz w:val="17"/>
                <w:szCs w:val="17"/>
              </w:rPr>
              <w:t xml:space="preserve">Post-license (first 12 months of operation)</w:t>
            </w:r>
          </w:p>
        </w:tc>
        <w:tc>
          <w:tcPr>
            <w:tcW w:type="auto" w:w="1200"/>
            <w:tcBorders>
              <w:top w:val="single" w:color="DBEAFE" w:sz="1"/>
              <w:left w:val="single" w:color="DBEAFE" w:sz="1"/>
              <w:bottom w:val="single" w:color="DBEAFE" w:sz="1"/>
              <w:right w:val="single" w:color="DBEAFE" w:sz="1"/>
            </w:tcBorders>
            <w:shd w:fill="F3F4F6" w:val="clear"/>
            <w:tcMar>
              <w:top w:type="dxa" w:w="110"/>
              <w:left w:type="dxa" w:w="100"/>
              <w:bottom w:type="dxa" w:w="110"/>
              <w:right w:type="dxa" w:w="100"/>
            </w:tcMar>
          </w:tcPr>
          <w:p>
            <w:r>
              <w:rPr>
                <w:rFonts w:ascii="Georgia" w:cs="Georgia" w:eastAsia="Georgia" w:hAnsi="Georgia"/>
                <w:i/>
                <w:iCs/>
                <w:color w:val="111827"/>
                <w:sz w:val="16"/>
                <w:szCs w:val="16"/>
              </w:rPr>
              <w:t xml:space="preserve">Complete ISO 27001 certification — demonstrate ongoing operational security maturity to BI and OJK in initial examinations.</w:t>
            </w:r>
          </w:p>
        </w:tc>
        <w:tc>
          <w:tcPr>
            <w:tcW w:type="auto" w:w="3160"/>
            <w:tcBorders>
              <w:top w:val="single" w:color="DBEAFE" w:sz="1"/>
              <w:left w:val="single" w:color="DBEAFE" w:sz="1"/>
              <w:bottom w:val="single" w:color="DBEAFE" w:sz="1"/>
              <w:right w:val="single" w:color="DBEAFE" w:sz="1"/>
            </w:tcBorders>
            <w:shd w:fill="EBF2FB" w:val="clear"/>
            <w:tcMar>
              <w:top w:type="dxa" w:w="110"/>
              <w:left w:type="dxa" w:w="110"/>
              <w:bottom w:type="dxa" w:w="110"/>
              <w:right w:type="dxa" w:w="110"/>
            </w:tcMar>
          </w:tcPr>
          <w:p>
            <w:pPr>
              <w:pStyle w:val="ListParagraph"/>
              <w:numPr>
                <w:ilvl w:val="0"/>
                <w:numId w:val="2"/>
              </w:numPr>
              <w:spacing w:after="50"/>
            </w:pPr>
            <w:r>
              <w:rPr>
                <w:rFonts w:ascii="Georgia" w:cs="Georgia" w:eastAsia="Georgia" w:hAnsi="Georgia"/>
                <w:color w:val="111827"/>
                <w:sz w:val="16"/>
                <w:szCs w:val="16"/>
              </w:rPr>
              <w:t xml:space="preserve">Complete ISO 27001 implementation — SoA, risk treatment plan, policies, procedures fully operational</w:t>
            </w:r>
          </w:p>
          <w:p>
            <w:pPr>
              <w:pStyle w:val="ListParagraph"/>
              <w:numPr>
                <w:ilvl w:val="0"/>
                <w:numId w:val="2"/>
              </w:numPr>
              <w:spacing w:after="50"/>
            </w:pPr>
            <w:r>
              <w:rPr>
                <w:rFonts w:ascii="Georgia" w:cs="Georgia" w:eastAsia="Georgia" w:hAnsi="Georgia"/>
                <w:color w:val="111827"/>
                <w:sz w:val="16"/>
                <w:szCs w:val="16"/>
              </w:rPr>
              <w:t xml:space="preserve">Conduct internal audit with payment-system-specific scope</w:t>
            </w:r>
          </w:p>
          <w:p>
            <w:pPr>
              <w:pStyle w:val="ListParagraph"/>
              <w:numPr>
                <w:ilvl w:val="0"/>
                <w:numId w:val="2"/>
              </w:numPr>
              <w:spacing w:after="50"/>
            </w:pPr>
            <w:r>
              <w:rPr>
                <w:rFonts w:ascii="Georgia" w:cs="Georgia" w:eastAsia="Georgia" w:hAnsi="Georgia"/>
                <w:color w:val="111827"/>
                <w:sz w:val="16"/>
                <w:szCs w:val="16"/>
              </w:rPr>
              <w:t xml:space="preserve">Conduct management review with BI/OJK compliance status as input</w:t>
            </w:r>
          </w:p>
          <w:p>
            <w:pPr>
              <w:pStyle w:val="ListParagraph"/>
              <w:numPr>
                <w:ilvl w:val="0"/>
                <w:numId w:val="2"/>
              </w:numPr>
              <w:spacing w:after="50"/>
            </w:pPr>
            <w:r>
              <w:rPr>
                <w:rFonts w:ascii="Georgia" w:cs="Georgia" w:eastAsia="Georgia" w:hAnsi="Georgia"/>
                <w:color w:val="111827"/>
                <w:sz w:val="16"/>
                <w:szCs w:val="16"/>
              </w:rPr>
              <w:t xml:space="preserve">Stage 1 and Stage 2 ISO 27001 audit — target certification within 12 months of license grant</w:t>
            </w:r>
          </w:p>
        </w:tc>
        <w:tc>
          <w:tcPr>
            <w:tcW w:type="auto" w:w="1600"/>
            <w:tcBorders>
              <w:top w:val="single" w:color="DBEAFE" w:sz="1"/>
              <w:left w:val="single" w:color="DBEAFE" w:sz="1"/>
              <w:bottom w:val="single" w:color="DBEAFE" w:sz="1"/>
              <w:right w:val="single" w:color="DBEAFE" w:sz="1"/>
            </w:tcBorders>
            <w:shd w:fill="ECFDF5" w:val="clear"/>
            <w:tcMar>
              <w:top w:type="dxa" w:w="110"/>
              <w:left w:type="dxa" w:w="100"/>
              <w:bottom w:type="dxa" w:w="110"/>
              <w:right w:type="dxa" w:w="100"/>
            </w:tcMar>
          </w:tcPr>
          <w:p>
            <w:r>
              <w:rPr>
                <w:rFonts w:ascii="Georgia" w:cs="Georgia" w:eastAsia="Georgia" w:hAnsi="Georgia"/>
                <w:i/>
                <w:iCs/>
                <w:color w:val="065F46"/>
                <w:sz w:val="16"/>
                <w:szCs w:val="16"/>
              </w:rPr>
              <w:t xml:space="preserve">BI initial examination (typically within 6 months of license grant) and OJK first examination benefit from ISO 27001 certificate as evidence of independent security verification.</w:t>
            </w:r>
          </w:p>
        </w:tc>
        <w:tc>
          <w:tcPr>
            <w:tcW w:type="auto" w:w="1400"/>
            <w:tcBorders>
              <w:top w:val="single" w:color="DBEAFE" w:sz="1"/>
              <w:left w:val="single" w:color="DBEAFE" w:sz="1"/>
              <w:bottom w:val="single" w:color="DBEAFE" w:sz="1"/>
              <w:right w:val="single" w:color="DBEAFE" w:sz="1"/>
            </w:tcBorders>
            <w:shd w:fill="FFFBEB" w:val="clear"/>
            <w:tcMar>
              <w:top w:type="dxa" w:w="110"/>
              <w:left w:type="dxa" w:w="100"/>
              <w:bottom w:type="dxa" w:w="110"/>
              <w:right w:type="dxa" w:w="100"/>
            </w:tcMar>
          </w:tcPr>
          <w:p>
            <w:r>
              <w:rPr>
                <w:rFonts w:ascii="Georgia" w:cs="Georgia" w:eastAsia="Georgia" w:hAnsi="Georgia"/>
                <w:color w:val="B45309"/>
                <w:sz w:val="15"/>
                <w:szCs w:val="15"/>
              </w:rPr>
              <w:t xml:space="preserve">Months 12–18: Full ISO 27001 certification. Target Stage 2 audit within 18 months of license grant.</w:t>
            </w:r>
          </w:p>
        </w:tc>
      </w:tr>
      <w:tr>
        <w:tc>
          <w:tcPr>
            <w:tcW w:type="auto" w:w="2000"/>
            <w:tcBorders>
              <w:top w:val="single" w:color="DBEAFE" w:sz="1"/>
              <w:left w:val="single" w:color="DBEAFE" w:sz="1"/>
              <w:bottom w:val="single" w:color="DBEAFE" w:sz="1"/>
              <w:right w:val="single" w:color="DBEAFE" w:sz="1"/>
            </w:tcBorders>
            <w:shd w:fill="3730A3" w:val="clear"/>
            <w:tcMar>
              <w:top w:type="dxa" w:w="110"/>
              <w:left w:type="dxa" w:w="110"/>
              <w:bottom w:type="dxa" w:w="110"/>
              <w:right w:type="dxa" w:w="110"/>
            </w:tcMar>
          </w:tcPr>
          <w:p>
            <w:r>
              <w:rPr>
                <w:rFonts w:ascii="Arial" w:cs="Arial" w:eastAsia="Arial" w:hAnsi="Arial"/>
                <w:b/>
                <w:bCs/>
                <w:color w:val="FFFFFF"/>
                <w:sz w:val="17"/>
                <w:szCs w:val="17"/>
              </w:rPr>
              <w:t xml:space="preserve">Mature operations (Year 2 onwards)</w:t>
            </w:r>
          </w:p>
        </w:tc>
        <w:tc>
          <w:tcPr>
            <w:tcW w:type="auto" w:w="1200"/>
            <w:tcBorders>
              <w:top w:val="single" w:color="DBEAFE" w:sz="1"/>
              <w:left w:val="single" w:color="DBEAFE" w:sz="1"/>
              <w:bottom w:val="single" w:color="DBEAFE" w:sz="1"/>
              <w:right w:val="single" w:color="DBEAFE" w:sz="1"/>
            </w:tcBorders>
            <w:shd w:fill="FFFFFF" w:val="clear"/>
            <w:tcMar>
              <w:top w:type="dxa" w:w="110"/>
              <w:left w:type="dxa" w:w="100"/>
              <w:bottom w:type="dxa" w:w="110"/>
              <w:right w:type="dxa" w:w="100"/>
            </w:tcMar>
          </w:tcPr>
          <w:p>
            <w:r>
              <w:rPr>
                <w:rFonts w:ascii="Georgia" w:cs="Georgia" w:eastAsia="Georgia" w:hAnsi="Georgia"/>
                <w:i/>
                <w:iCs/>
                <w:color w:val="111827"/>
                <w:sz w:val="16"/>
                <w:szCs w:val="16"/>
              </w:rPr>
              <w:t xml:space="preserve">Maintain certification through surveillance audits, use ISMS evidence for regulatory submissions, expand scope as services grow.</w:t>
            </w:r>
          </w:p>
        </w:tc>
        <w:tc>
          <w:tcPr>
            <w:tcW w:type="auto" w:w="3160"/>
            <w:tcBorders>
              <w:top w:val="single" w:color="DBEAFE" w:sz="1"/>
              <w:left w:val="single" w:color="DBEAFE" w:sz="1"/>
              <w:bottom w:val="single" w:color="DBEAFE" w:sz="1"/>
              <w:right w:val="single" w:color="DBEAFE" w:sz="1"/>
            </w:tcBorders>
            <w:shd w:fill="F0F7FF" w:val="clear"/>
            <w:tcMar>
              <w:top w:type="dxa" w:w="110"/>
              <w:left w:type="dxa" w:w="110"/>
              <w:bottom w:type="dxa" w:w="110"/>
              <w:right w:type="dxa" w:w="110"/>
            </w:tcMar>
          </w:tcPr>
          <w:p>
            <w:pPr>
              <w:pStyle w:val="ListParagraph"/>
              <w:numPr>
                <w:ilvl w:val="0"/>
                <w:numId w:val="2"/>
              </w:numPr>
              <w:spacing w:after="50"/>
            </w:pPr>
            <w:r>
              <w:rPr>
                <w:rFonts w:ascii="Georgia" w:cs="Georgia" w:eastAsia="Georgia" w:hAnsi="Georgia"/>
                <w:color w:val="111827"/>
                <w:sz w:val="16"/>
                <w:szCs w:val="16"/>
              </w:rPr>
              <w:t xml:space="preserve">Annual ISO 27001 surveillance audits — align with BI annual security assessment submission</w:t>
            </w:r>
          </w:p>
          <w:p>
            <w:pPr>
              <w:pStyle w:val="ListParagraph"/>
              <w:numPr>
                <w:ilvl w:val="0"/>
                <w:numId w:val="2"/>
              </w:numPr>
              <w:spacing w:after="50"/>
            </w:pPr>
            <w:r>
              <w:rPr>
                <w:rFonts w:ascii="Georgia" w:cs="Georgia" w:eastAsia="Georgia" w:hAnsi="Georgia"/>
                <w:color w:val="111827"/>
                <w:sz w:val="16"/>
                <w:szCs w:val="16"/>
              </w:rPr>
              <w:t xml:space="preserve">Quarterly payment system KPI reporting to management review</w:t>
            </w:r>
          </w:p>
          <w:p>
            <w:pPr>
              <w:pStyle w:val="ListParagraph"/>
              <w:numPr>
                <w:ilvl w:val="0"/>
                <w:numId w:val="2"/>
              </w:numPr>
              <w:spacing w:after="50"/>
            </w:pPr>
            <w:r>
              <w:rPr>
                <w:rFonts w:ascii="Georgia" w:cs="Georgia" w:eastAsia="Georgia" w:hAnsi="Georgia"/>
                <w:color w:val="111827"/>
                <w:sz w:val="16"/>
                <w:szCs w:val="16"/>
              </w:rPr>
              <w:t xml:space="preserve">Scope expansion reviews when new services launched</w:t>
            </w:r>
          </w:p>
          <w:p>
            <w:pPr>
              <w:pStyle w:val="ListParagraph"/>
              <w:numPr>
                <w:ilvl w:val="0"/>
                <w:numId w:val="2"/>
              </w:numPr>
              <w:spacing w:after="50"/>
            </w:pPr>
            <w:r>
              <w:rPr>
                <w:rFonts w:ascii="Georgia" w:cs="Georgia" w:eastAsia="Georgia" w:hAnsi="Georgia"/>
                <w:color w:val="111827"/>
                <w:sz w:val="16"/>
                <w:szCs w:val="16"/>
              </w:rPr>
              <w:t xml:space="preserve">Continuous control improvement driven by threat intelligence (5.7) and incident lessons learned</w:t>
            </w:r>
          </w:p>
        </w:tc>
        <w:tc>
          <w:tcPr>
            <w:tcW w:type="auto" w:w="1600"/>
            <w:tcBorders>
              <w:top w:val="single" w:color="DBEAFE" w:sz="1"/>
              <w:left w:val="single" w:color="DBEAFE" w:sz="1"/>
              <w:bottom w:val="single" w:color="DBEAFE" w:sz="1"/>
              <w:right w:val="single" w:color="DBEAFE" w:sz="1"/>
            </w:tcBorders>
            <w:shd w:fill="ECFDF5" w:val="clear"/>
            <w:tcMar>
              <w:top w:type="dxa" w:w="110"/>
              <w:left w:type="dxa" w:w="100"/>
              <w:bottom w:type="dxa" w:w="110"/>
              <w:right w:type="dxa" w:w="100"/>
            </w:tcMar>
          </w:tcPr>
          <w:p>
            <w:r>
              <w:rPr>
                <w:rFonts w:ascii="Georgia" w:cs="Georgia" w:eastAsia="Georgia" w:hAnsi="Georgia"/>
                <w:i/>
                <w:iCs/>
                <w:color w:val="065F46"/>
                <w:sz w:val="16"/>
                <w:szCs w:val="16"/>
              </w:rPr>
              <w:t xml:space="preserve">Ongoing ISO 27001 surveillance audit history demonstrates sustained compliance. Certificate renewal (Year 3 recertification) aligned with BI license renewal cycle where possible.</w:t>
            </w:r>
          </w:p>
        </w:tc>
        <w:tc>
          <w:tcPr>
            <w:tcW w:type="auto" w:w="1400"/>
            <w:tcBorders>
              <w:top w:val="single" w:color="DBEAFE" w:sz="1"/>
              <w:left w:val="single" w:color="DBEAFE" w:sz="1"/>
              <w:bottom w:val="single" w:color="DBEAFE" w:sz="1"/>
              <w:right w:val="single" w:color="DBEAFE" w:sz="1"/>
            </w:tcBorders>
            <w:shd w:fill="FFFBEB" w:val="clear"/>
            <w:tcMar>
              <w:top w:type="dxa" w:w="110"/>
              <w:left w:type="dxa" w:w="100"/>
              <w:bottom w:type="dxa" w:w="110"/>
              <w:right w:type="dxa" w:w="100"/>
            </w:tcMar>
          </w:tcPr>
          <w:p>
            <w:r>
              <w:rPr>
                <w:rFonts w:ascii="Georgia" w:cs="Georgia" w:eastAsia="Georgia" w:hAnsi="Georgia"/>
                <w:color w:val="B45309"/>
                <w:sz w:val="15"/>
                <w:szCs w:val="15"/>
              </w:rPr>
              <w:t xml:space="preserve">Year 2 onwards: Surveillance audits at Month 12 and 24. Recertification at Month 36. BI/OJK examination readiness maintained continuously.</w:t>
            </w:r>
          </w:p>
        </w:tc>
      </w:tr>
    </w:tbl>
    <w:p>
      <w:pPr>
        <w:spacing w:after="16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single" w:color="0F766E" w:sz="1"/>
              <w:left w:val="single" w:color="0F766E" w:sz="12"/>
              <w:bottom w:val="single" w:color="0F766E" w:sz="1"/>
              <w:right w:val="single" w:color="0F766E" w:sz="1"/>
            </w:tcBorders>
            <w:shd w:fill="F0FDFA" w:val="clear"/>
            <w:tcMar>
              <w:top w:type="dxa" w:w="140"/>
              <w:left w:type="dxa" w:w="200"/>
              <w:bottom w:type="dxa" w:w="140"/>
              <w:right w:type="dxa" w:w="160"/>
            </w:tcMar>
          </w:tcPr>
          <w:p>
            <w:r>
              <w:rPr>
                <w:rFonts w:ascii="Georgia" w:cs="Georgia" w:eastAsia="Georgia" w:hAnsi="Georgia"/>
                <w:i/>
                <w:iCs/>
                <w:color w:val="0F766E"/>
                <w:sz w:val="21"/>
                <w:szCs w:val="21"/>
              </w:rPr>
              <w:t xml:space="preserve">The licensing application leverage point: BI and OJK license applications request evidence of IT governance and security capability — IS Policy, risk management framework, IT governance structure. Organizations that submit these as ISMS artifacts (not ad hoc documents created for the application) signal a systematic approach to security management. The quality difference between an IS Policy created as an ISMS artifact (version-controlled, board-approved, with risk appetite statement and regulatory references) and one created for a license application (generic template, minimal specificity) is immediately apparent to licensing reviewers who assess many applications.</w:t>
            </w:r>
          </w:p>
        </w:tc>
      </w:tr>
    </w:tbl>
    <w:p>
      <w:pPr>
        <w:spacing w:after="200"/>
      </w:pPr>
      <w:r>
        <w:t xml:space="preserve"/>
      </w:r>
    </w:p>
    <w:p>
      <w:pPr>
        <w:pStyle w:val="Heading2"/>
        <w:pBdr>
          <w:bottom w:val="single" w:color="2563A8" w:sz="4" w:space="4"/>
        </w:pBdr>
        <w:spacing w:before="400" w:after="160"/>
      </w:pPr>
      <w:r>
        <w:rPr>
          <w:rFonts w:ascii="Arial" w:cs="Arial" w:eastAsia="Arial" w:hAnsi="Arial"/>
          <w:b/>
          <w:bCs/>
          <w:color w:val="1B3A5C"/>
          <w:sz w:val="28"/>
          <w:szCs w:val="28"/>
        </w:rPr>
        <w:t xml:space="preserve">Cloud-Native Fintech: Specific Security Controls</w:t>
      </w:r>
    </w:p>
    <w:p>
      <w:pPr>
        <w:spacing w:after="80"/>
      </w:pPr>
      <w:r>
        <w:t xml:space="preserve"/>
      </w:r>
    </w:p>
    <w:p>
      <w:pPr>
        <w:spacing w:after="160" w:line="320"/>
        <w:jc w:val="both"/>
      </w:pPr>
      <w:r>
        <w:rPr>
          <w:rFonts w:ascii="Georgia" w:cs="Georgia" w:eastAsia="Georgia" w:hAnsi="Georgia"/>
          <w:color w:val="111827"/>
          <w:sz w:val="22"/>
          <w:szCs w:val="22"/>
        </w:rPr>
        <w:t xml:space="preserve">Most Indonesian fintechs built after 2018 are cloud-native — they run on AWS, GCP, or Azure Jakarta regions, deploy applications in containers, manage infrastructure as code, and deliver services through APIs. The ISO 27001 controls are written for this environment — but their application in cloud-native contexts has specific implementation patterns that differ from traditional on-premise deployments:</w:t>
      </w:r>
    </w:p>
    <w:p>
      <w:pPr>
        <w:spacing w:after="12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1800"/>
        <w:gridCol w:w="2000"/>
        <w:gridCol w:w="1760"/>
        <w:gridCol w:w="2400"/>
        <w:gridCol w:w="1400"/>
      </w:tblGrid>
      <w:tr>
        <w:tc>
          <w:tcPr>
            <w:tcW w:type="dxa" w:w="1800"/>
            <w:tcBorders>
              <w:top w:val="single" w:color="DBEAFE" w:sz="1"/>
              <w:left w:val="single" w:color="DBEAFE" w:sz="1"/>
              <w:bottom w:val="single" w:color="DBEAFE" w:sz="1"/>
              <w:right w:val="single" w:color="DBEAFE" w:sz="1"/>
            </w:tcBorders>
            <w:shd w:fill="1B3A5C" w:val="clear"/>
            <w:tcMar>
              <w:top w:type="dxa" w:w="90"/>
              <w:left w:type="dxa" w:w="110"/>
              <w:bottom w:type="dxa" w:w="90"/>
              <w:right w:type="dxa" w:w="110"/>
            </w:tcMar>
          </w:tcPr>
          <w:p>
            <w:r>
              <w:rPr>
                <w:rFonts w:ascii="Arial" w:cs="Arial" w:eastAsia="Arial" w:hAnsi="Arial"/>
                <w:b/>
                <w:bCs/>
                <w:color w:val="FFFFFF"/>
                <w:sz w:val="18"/>
                <w:szCs w:val="18"/>
              </w:rPr>
              <w:t xml:space="preserve">Security area</w:t>
            </w:r>
          </w:p>
        </w:tc>
        <w:tc>
          <w:tcPr>
            <w:tcW w:type="dxa" w:w="2000"/>
            <w:tcBorders>
              <w:top w:val="single" w:color="DBEAFE" w:sz="1"/>
              <w:left w:val="single" w:color="DBEAFE" w:sz="1"/>
              <w:bottom w:val="single" w:color="DBEAFE" w:sz="1"/>
              <w:right w:val="single" w:color="DBEAFE" w:sz="1"/>
            </w:tcBorders>
            <w:shd w:fill="1B3A5C" w:val="clear"/>
            <w:tcMar>
              <w:top w:type="dxa" w:w="90"/>
              <w:left w:type="dxa" w:w="110"/>
              <w:bottom w:type="dxa" w:w="90"/>
              <w:right w:type="dxa" w:w="110"/>
            </w:tcMar>
          </w:tcPr>
          <w:p>
            <w:r>
              <w:rPr>
                <w:rFonts w:ascii="Arial" w:cs="Arial" w:eastAsia="Arial" w:hAnsi="Arial"/>
                <w:b/>
                <w:bCs/>
                <w:color w:val="FFFFFF"/>
                <w:sz w:val="18"/>
                <w:szCs w:val="18"/>
              </w:rPr>
              <w:t xml:space="preserve">Fintech challenge</w:t>
            </w:r>
          </w:p>
        </w:tc>
        <w:tc>
          <w:tcPr>
            <w:tcW w:type="dxa" w:w="1760"/>
            <w:tcBorders>
              <w:top w:val="single" w:color="DBEAFE" w:sz="1"/>
              <w:left w:val="single" w:color="DBEAFE" w:sz="1"/>
              <w:bottom w:val="single" w:color="DBEAFE" w:sz="1"/>
              <w:right w:val="single" w:color="DBEAFE" w:sz="1"/>
            </w:tcBorders>
            <w:shd w:fill="1B3A5C" w:val="clear"/>
            <w:tcMar>
              <w:top w:type="dxa" w:w="90"/>
              <w:left w:type="dxa" w:w="110"/>
              <w:bottom w:type="dxa" w:w="90"/>
              <w:right w:type="dxa" w:w="110"/>
            </w:tcMar>
          </w:tcPr>
          <w:p>
            <w:r>
              <w:rPr>
                <w:rFonts w:ascii="Arial" w:cs="Arial" w:eastAsia="Arial" w:hAnsi="Arial"/>
                <w:b/>
                <w:bCs/>
                <w:color w:val="FFFFFF"/>
                <w:sz w:val="18"/>
                <w:szCs w:val="18"/>
              </w:rPr>
              <w:t xml:space="preserve">ISO 27001 controls</w:t>
            </w:r>
          </w:p>
        </w:tc>
        <w:tc>
          <w:tcPr>
            <w:tcW w:type="dxa" w:w="2400"/>
            <w:tcBorders>
              <w:top w:val="single" w:color="DBEAFE" w:sz="1"/>
              <w:left w:val="single" w:color="DBEAFE" w:sz="1"/>
              <w:bottom w:val="single" w:color="DBEAFE" w:sz="1"/>
              <w:right w:val="single" w:color="DBEAFE" w:sz="1"/>
            </w:tcBorders>
            <w:shd w:fill="1B3A5C" w:val="clear"/>
            <w:tcMar>
              <w:top w:type="dxa" w:w="90"/>
              <w:left w:type="dxa" w:w="110"/>
              <w:bottom w:type="dxa" w:w="90"/>
              <w:right w:type="dxa" w:w="110"/>
            </w:tcMar>
          </w:tcPr>
          <w:p>
            <w:r>
              <w:rPr>
                <w:rFonts w:ascii="Arial" w:cs="Arial" w:eastAsia="Arial" w:hAnsi="Arial"/>
                <w:b/>
                <w:bCs/>
                <w:color w:val="FFFFFF"/>
                <w:sz w:val="18"/>
                <w:szCs w:val="18"/>
              </w:rPr>
              <w:t xml:space="preserve">Fintech implementation</w:t>
            </w:r>
          </w:p>
        </w:tc>
        <w:tc>
          <w:tcPr>
            <w:tcW w:type="dxa" w:w="1400"/>
            <w:tcBorders>
              <w:top w:val="single" w:color="DBEAFE" w:sz="1"/>
              <w:left w:val="single" w:color="DBEAFE" w:sz="1"/>
              <w:bottom w:val="single" w:color="DBEAFE" w:sz="1"/>
              <w:right w:val="single" w:color="DBEAFE" w:sz="1"/>
            </w:tcBorders>
            <w:shd w:fill="1B3A5C" w:val="clear"/>
            <w:tcMar>
              <w:top w:type="dxa" w:w="90"/>
              <w:left w:type="dxa" w:w="110"/>
              <w:bottom w:type="dxa" w:w="90"/>
              <w:right w:type="dxa" w:w="110"/>
            </w:tcMar>
          </w:tcPr>
          <w:p>
            <w:r>
              <w:rPr>
                <w:rFonts w:ascii="Arial" w:cs="Arial" w:eastAsia="Arial" w:hAnsi="Arial"/>
                <w:b/>
                <w:bCs/>
                <w:color w:val="FFFFFF"/>
                <w:sz w:val="18"/>
                <w:szCs w:val="18"/>
              </w:rPr>
              <w:t xml:space="preserve">Evidence</w:t>
            </w:r>
          </w:p>
        </w:tc>
      </w:tr>
      <w:tr>
        <w:tc>
          <w:tcPr>
            <w:tcW w:type="auto" w:w="1800"/>
            <w:tcBorders>
              <w:top w:val="single" w:color="DBEAFE" w:sz="1"/>
              <w:left w:val="single" w:color="DBEAFE" w:sz="1"/>
              <w:bottom w:val="single" w:color="DBEAFE" w:sz="1"/>
              <w:right w:val="single" w:color="DBEAFE" w:sz="1"/>
            </w:tcBorders>
            <w:shd w:fill="1B3A5C" w:val="clear"/>
            <w:tcMar>
              <w:top w:type="dxa" w:w="100"/>
              <w:left w:type="dxa" w:w="110"/>
              <w:bottom w:type="dxa" w:w="100"/>
              <w:right w:type="dxa" w:w="110"/>
            </w:tcMar>
          </w:tcPr>
          <w:p>
            <w:r>
              <w:rPr>
                <w:rFonts w:ascii="Arial" w:cs="Arial" w:eastAsia="Arial" w:hAnsi="Arial"/>
                <w:b/>
                <w:bCs/>
                <w:color w:val="FFFFFF"/>
                <w:sz w:val="17"/>
                <w:szCs w:val="17"/>
              </w:rPr>
              <w:t xml:space="preserve">Cloud infrastructure security (IaC)</w:t>
            </w:r>
          </w:p>
        </w:tc>
        <w:tc>
          <w:tcPr>
            <w:tcW w:type="auto" w:w="2000"/>
            <w:tcBorders>
              <w:top w:val="single" w:color="DBEAFE" w:sz="1"/>
              <w:left w:val="single" w:color="DBEAFE" w:sz="1"/>
              <w:bottom w:val="single" w:color="DBEAFE" w:sz="1"/>
              <w:right w:val="single" w:color="DBEAFE" w:sz="1"/>
            </w:tcBorders>
            <w:shd w:fill="F3F4F6" w:val="clear"/>
            <w:tcMar>
              <w:top w:type="dxa" w:w="100"/>
              <w:left w:type="dxa" w:w="100"/>
              <w:bottom w:type="dxa" w:w="100"/>
              <w:right w:type="dxa" w:w="100"/>
            </w:tcMar>
          </w:tcPr>
          <w:p>
            <w:r>
              <w:rPr>
                <w:rFonts w:ascii="Georgia" w:cs="Georgia" w:eastAsia="Georgia" w:hAnsi="Georgia"/>
                <w:color w:val="111827"/>
                <w:sz w:val="16"/>
                <w:szCs w:val="16"/>
              </w:rPr>
              <w:t xml:space="preserve">Cloud-native fintechs manage infrastructure through code (Terraform, Pulumi, CloudFormation). Traditional ISMS controls assume human-managed configurations — but in IaC environments, the most common misconfiguration vector is the code repository and deployment pipeline, not the individual cloud resource.</w:t>
            </w:r>
          </w:p>
        </w:tc>
        <w:tc>
          <w:tcPr>
            <w:tcW w:type="auto" w:w="1760"/>
            <w:tcBorders>
              <w:top w:val="single" w:color="DBEAFE" w:sz="1"/>
              <w:left w:val="single" w:color="DBEAFE" w:sz="1"/>
              <w:bottom w:val="single" w:color="DBEAFE" w:sz="1"/>
              <w:right w:val="single" w:color="DBEAFE" w:sz="1"/>
            </w:tcBorders>
            <w:shd w:fill="EEF2FF" w:val="clear"/>
            <w:tcMar>
              <w:top w:type="dxa" w:w="100"/>
              <w:left w:type="dxa" w:w="100"/>
              <w:bottom w:type="dxa" w:w="100"/>
              <w:right w:type="dxa" w:w="100"/>
            </w:tcMar>
          </w:tcPr>
          <w:p>
            <w:r>
              <w:rPr>
                <w:rFonts w:ascii="Georgia" w:cs="Georgia" w:eastAsia="Georgia" w:hAnsi="Georgia"/>
                <w:color w:val="3730A3"/>
                <w:sz w:val="15"/>
                <w:szCs w:val="15"/>
              </w:rPr>
              <w:t xml:space="preserve">8.9 (Configuration management — baseline configs in IaC templates), 8.4 (Access to source code — restrict access to IaC repositories), 8.32 (Change management — IaC changes go through the same change management process as production changes), 8.28 (Secure coding — IaC code is subject to SAST scanning)</w:t>
            </w:r>
          </w:p>
        </w:tc>
        <w:tc>
          <w:tcPr>
            <w:tcW w:type="auto" w:w="2400"/>
            <w:tcBorders>
              <w:top w:val="single" w:color="DBEAFE" w:sz="1"/>
              <w:left w:val="single" w:color="DBEAFE" w:sz="1"/>
              <w:bottom w:val="single" w:color="DBEAFE" w:sz="1"/>
              <w:right w:val="single" w:color="DBEAFE" w:sz="1"/>
            </w:tcBorders>
            <w:shd w:fill="EBF2FB" w:val="clear"/>
            <w:tcMar>
              <w:top w:type="dxa" w:w="100"/>
              <w:left w:type="dxa" w:w="110"/>
              <w:bottom w:type="dxa" w:w="100"/>
              <w:right w:type="dxa" w:w="110"/>
            </w:tcMar>
          </w:tcPr>
          <w:p>
            <w:r>
              <w:rPr>
                <w:rFonts w:ascii="Georgia" w:cs="Georgia" w:eastAsia="Georgia" w:hAnsi="Georgia"/>
                <w:color w:val="111827"/>
                <w:sz w:val="16"/>
                <w:szCs w:val="16"/>
              </w:rPr>
              <w:t xml:space="preserve">Apply SAST scanning to IaC templates (Checkov, tfsec for Terraform). Enforce IaC repository access controls (no direct commits to main, required code review including security review). Include IaC changes in change management. Maintain a 'desired state' baseline that automated drift detection monitors against.</w:t>
            </w:r>
          </w:p>
        </w:tc>
        <w:tc>
          <w:tcPr>
            <w:tcW w:type="auto" w:w="1400"/>
            <w:tcBorders>
              <w:top w:val="single" w:color="DBEAFE" w:sz="1"/>
              <w:left w:val="single" w:color="DBEAFE" w:sz="1"/>
              <w:bottom w:val="single" w:color="DBEAFE" w:sz="1"/>
              <w:right w:val="single" w:color="DBEAFE" w:sz="1"/>
            </w:tcBorders>
            <w:shd w:fill="ECFDF5" w:val="clear"/>
            <w:tcMar>
              <w:top w:type="dxa" w:w="100"/>
              <w:left w:type="dxa" w:w="100"/>
              <w:bottom w:type="dxa" w:w="100"/>
              <w:right w:type="dxa" w:w="100"/>
            </w:tcMar>
          </w:tcPr>
          <w:p>
            <w:r>
              <w:rPr>
                <w:rFonts w:ascii="Georgia" w:cs="Georgia" w:eastAsia="Georgia" w:hAnsi="Georgia"/>
                <w:i/>
                <w:iCs/>
                <w:color w:val="065F46"/>
                <w:sz w:val="15"/>
                <w:szCs w:val="15"/>
              </w:rPr>
              <w:t xml:space="preserve">IaC SAST scan reports. IaC repository access control configuration. Change management records for IaC changes. Drift detection alerts and response records.</w:t>
            </w:r>
          </w:p>
        </w:tc>
      </w:tr>
      <w:tr>
        <w:tc>
          <w:tcPr>
            <w:tcW w:type="auto" w:w="1800"/>
            <w:tcBorders>
              <w:top w:val="single" w:color="DBEAFE" w:sz="1"/>
              <w:left w:val="single" w:color="DBEAFE" w:sz="1"/>
              <w:bottom w:val="single" w:color="DBEAFE" w:sz="1"/>
              <w:right w:val="single" w:color="DBEAFE" w:sz="1"/>
            </w:tcBorders>
            <w:shd w:fill="2563A8" w:val="clear"/>
            <w:tcMar>
              <w:top w:type="dxa" w:w="100"/>
              <w:left w:type="dxa" w:w="110"/>
              <w:bottom w:type="dxa" w:w="100"/>
              <w:right w:type="dxa" w:w="110"/>
            </w:tcMar>
          </w:tcPr>
          <w:p>
            <w:r>
              <w:rPr>
                <w:rFonts w:ascii="Arial" w:cs="Arial" w:eastAsia="Arial" w:hAnsi="Arial"/>
                <w:b/>
                <w:bCs/>
                <w:color w:val="FFFFFF"/>
                <w:sz w:val="17"/>
                <w:szCs w:val="17"/>
              </w:rPr>
              <w:t xml:space="preserve">API security for payment and open banking</w:t>
            </w:r>
          </w:p>
        </w:tc>
        <w:tc>
          <w:tcPr>
            <w:tcW w:type="auto" w:w="2000"/>
            <w:tcBorders>
              <w:top w:val="single" w:color="DBEAFE" w:sz="1"/>
              <w:left w:val="single" w:color="DBEAFE" w:sz="1"/>
              <w:bottom w:val="single" w:color="DBEAFE" w:sz="1"/>
              <w:right w:val="single" w:color="DBEAFE" w:sz="1"/>
            </w:tcBorders>
            <w:shd w:fill="FFFFFF" w:val="clear"/>
            <w:tcMar>
              <w:top w:type="dxa" w:w="100"/>
              <w:left w:type="dxa" w:w="100"/>
              <w:bottom w:type="dxa" w:w="100"/>
              <w:right w:type="dxa" w:w="100"/>
            </w:tcMar>
          </w:tcPr>
          <w:p>
            <w:r>
              <w:rPr>
                <w:rFonts w:ascii="Georgia" w:cs="Georgia" w:eastAsia="Georgia" w:hAnsi="Georgia"/>
                <w:color w:val="111827"/>
                <w:sz w:val="16"/>
                <w:szCs w:val="16"/>
              </w:rPr>
              <w:t xml:space="preserve">Fintech revenue is generated through APIs — payment APIs, banking APIs, data APIs. API security is simultaneously a customer-facing security risk, a regulatory requirement (BI, OJK digital banking regulations), and a business continuity risk. API security failures can directly enable fraud.</w:t>
            </w:r>
          </w:p>
        </w:tc>
        <w:tc>
          <w:tcPr>
            <w:tcW w:type="auto" w:w="1760"/>
            <w:tcBorders>
              <w:top w:val="single" w:color="DBEAFE" w:sz="1"/>
              <w:left w:val="single" w:color="DBEAFE" w:sz="1"/>
              <w:bottom w:val="single" w:color="DBEAFE" w:sz="1"/>
              <w:right w:val="single" w:color="DBEAFE" w:sz="1"/>
            </w:tcBorders>
            <w:shd w:fill="EEF2FF" w:val="clear"/>
            <w:tcMar>
              <w:top w:type="dxa" w:w="100"/>
              <w:left w:type="dxa" w:w="100"/>
              <w:bottom w:type="dxa" w:w="100"/>
              <w:right w:type="dxa" w:w="100"/>
            </w:tcMar>
          </w:tcPr>
          <w:p>
            <w:r>
              <w:rPr>
                <w:rFonts w:ascii="Georgia" w:cs="Georgia" w:eastAsia="Georgia" w:hAnsi="Georgia"/>
                <w:color w:val="3730A3"/>
                <w:sz w:val="15"/>
                <w:szCs w:val="15"/>
              </w:rPr>
              <w:t xml:space="preserve">8.26 (Application security requirements — API security requirements defined at design), 8.25 (Secure development lifecycle — API security by design), 8.29 (Security testing — API penetration testing), 8.20–8.21 (Network security — API gateway configuration), 5.15 (Access control — OAuth 2.0/OIDC implementation)</w:t>
            </w:r>
          </w:p>
        </w:tc>
        <w:tc>
          <w:tcPr>
            <w:tcW w:type="auto" w:w="2400"/>
            <w:tcBorders>
              <w:top w:val="single" w:color="DBEAFE" w:sz="1"/>
              <w:left w:val="single" w:color="DBEAFE" w:sz="1"/>
              <w:bottom w:val="single" w:color="DBEAFE" w:sz="1"/>
              <w:right w:val="single" w:color="DBEAFE" w:sz="1"/>
            </w:tcBorders>
            <w:shd w:fill="F0F7FF" w:val="clear"/>
            <w:tcMar>
              <w:top w:type="dxa" w:w="100"/>
              <w:left w:type="dxa" w:w="110"/>
              <w:bottom w:type="dxa" w:w="100"/>
              <w:right w:type="dxa" w:w="110"/>
            </w:tcMar>
          </w:tcPr>
          <w:p>
            <w:r>
              <w:rPr>
                <w:rFonts w:ascii="Georgia" w:cs="Georgia" w:eastAsia="Georgia" w:hAnsi="Georgia"/>
                <w:color w:val="111827"/>
                <w:sz w:val="16"/>
                <w:szCs w:val="16"/>
              </w:rPr>
              <w:t xml:space="preserve">Define API security standards: authentication (OAuth 2.0 mandatory for all production APIs), rate limiting (per-key, per-IP, per-endpoint), input validation (all parameters), output filtering (strip internal data from responses), TLS 1.2+ on all endpoints. Include API security in OWASP Top 10 testing (OWASP API Security Top 10). Annual API penetration test covering authentication bypass, authorization flaws, and injection.</w:t>
            </w:r>
          </w:p>
        </w:tc>
        <w:tc>
          <w:tcPr>
            <w:tcW w:type="auto" w:w="1400"/>
            <w:tcBorders>
              <w:top w:val="single" w:color="DBEAFE" w:sz="1"/>
              <w:left w:val="single" w:color="DBEAFE" w:sz="1"/>
              <w:bottom w:val="single" w:color="DBEAFE" w:sz="1"/>
              <w:right w:val="single" w:color="DBEAFE" w:sz="1"/>
            </w:tcBorders>
            <w:shd w:fill="ECFDF5" w:val="clear"/>
            <w:tcMar>
              <w:top w:type="dxa" w:w="100"/>
              <w:left w:type="dxa" w:w="100"/>
              <w:bottom w:type="dxa" w:w="100"/>
              <w:right w:type="dxa" w:w="100"/>
            </w:tcMar>
          </w:tcPr>
          <w:p>
            <w:r>
              <w:rPr>
                <w:rFonts w:ascii="Georgia" w:cs="Georgia" w:eastAsia="Georgia" w:hAnsi="Georgia"/>
                <w:i/>
                <w:iCs/>
                <w:color w:val="065F46"/>
                <w:sz w:val="15"/>
                <w:szCs w:val="15"/>
              </w:rPr>
              <w:t xml:space="preserve">API security standards document. OAuth 2.0 configuration for all production APIs. Rate limiting configuration. Annual API penetration test report. OWASP API Top 10 testing coverage.</w:t>
            </w:r>
          </w:p>
        </w:tc>
      </w:tr>
      <w:tr>
        <w:tc>
          <w:tcPr>
            <w:tcW w:type="auto" w:w="1800"/>
            <w:tcBorders>
              <w:top w:val="single" w:color="DBEAFE" w:sz="1"/>
              <w:left w:val="single" w:color="DBEAFE" w:sz="1"/>
              <w:bottom w:val="single" w:color="DBEAFE" w:sz="1"/>
              <w:right w:val="single" w:color="DBEAFE" w:sz="1"/>
            </w:tcBorders>
            <w:shd w:fill="0F766E" w:val="clear"/>
            <w:tcMar>
              <w:top w:type="dxa" w:w="100"/>
              <w:left w:type="dxa" w:w="110"/>
              <w:bottom w:type="dxa" w:w="100"/>
              <w:right w:type="dxa" w:w="110"/>
            </w:tcMar>
          </w:tcPr>
          <w:p>
            <w:r>
              <w:rPr>
                <w:rFonts w:ascii="Arial" w:cs="Arial" w:eastAsia="Arial" w:hAnsi="Arial"/>
                <w:b/>
                <w:bCs/>
                <w:color w:val="FFFFFF"/>
                <w:sz w:val="17"/>
                <w:szCs w:val="17"/>
              </w:rPr>
              <w:t xml:space="preserve">Secrets management in DevOps pipelines</w:t>
            </w:r>
          </w:p>
        </w:tc>
        <w:tc>
          <w:tcPr>
            <w:tcW w:type="auto" w:w="2000"/>
            <w:tcBorders>
              <w:top w:val="single" w:color="DBEAFE" w:sz="1"/>
              <w:left w:val="single" w:color="DBEAFE" w:sz="1"/>
              <w:bottom w:val="single" w:color="DBEAFE" w:sz="1"/>
              <w:right w:val="single" w:color="DBEAFE" w:sz="1"/>
            </w:tcBorders>
            <w:shd w:fill="F3F4F6" w:val="clear"/>
            <w:tcMar>
              <w:top w:type="dxa" w:w="100"/>
              <w:left w:type="dxa" w:w="100"/>
              <w:bottom w:type="dxa" w:w="100"/>
              <w:right w:type="dxa" w:w="100"/>
            </w:tcMar>
          </w:tcPr>
          <w:p>
            <w:r>
              <w:rPr>
                <w:rFonts w:ascii="Georgia" w:cs="Georgia" w:eastAsia="Georgia" w:hAnsi="Georgia"/>
                <w:color w:val="111827"/>
                <w:sz w:val="16"/>
                <w:szCs w:val="16"/>
              </w:rPr>
              <w:t xml:space="preserve">API keys, database credentials, encryption keys, and certificate private keys embedded in application code or environment variables are a leading cause of payment system data breaches. CI/CD pipelines that handle production secrets create a high-risk exposure surface.</w:t>
            </w:r>
          </w:p>
        </w:tc>
        <w:tc>
          <w:tcPr>
            <w:tcW w:type="auto" w:w="1760"/>
            <w:tcBorders>
              <w:top w:val="single" w:color="DBEAFE" w:sz="1"/>
              <w:left w:val="single" w:color="DBEAFE" w:sz="1"/>
              <w:bottom w:val="single" w:color="DBEAFE" w:sz="1"/>
              <w:right w:val="single" w:color="DBEAFE" w:sz="1"/>
            </w:tcBorders>
            <w:shd w:fill="EEF2FF" w:val="clear"/>
            <w:tcMar>
              <w:top w:type="dxa" w:w="100"/>
              <w:left w:type="dxa" w:w="100"/>
              <w:bottom w:type="dxa" w:w="100"/>
              <w:right w:type="dxa" w:w="100"/>
            </w:tcMar>
          </w:tcPr>
          <w:p>
            <w:r>
              <w:rPr>
                <w:rFonts w:ascii="Georgia" w:cs="Georgia" w:eastAsia="Georgia" w:hAnsi="Georgia"/>
                <w:color w:val="3730A3"/>
                <w:sz w:val="15"/>
                <w:szCs w:val="15"/>
              </w:rPr>
              <w:t xml:space="preserve">5.17 (Authentication information — secret management process), 8.24 (Cryptography — key management), 8.28 (Secure coding — prohibition on hardcoded credentials), 8.4 (Source code access — restrict access to code with credentials)</w:t>
            </w:r>
          </w:p>
        </w:tc>
        <w:tc>
          <w:tcPr>
            <w:tcW w:type="auto" w:w="2400"/>
            <w:tcBorders>
              <w:top w:val="single" w:color="DBEAFE" w:sz="1"/>
              <w:left w:val="single" w:color="DBEAFE" w:sz="1"/>
              <w:bottom w:val="single" w:color="DBEAFE" w:sz="1"/>
              <w:right w:val="single" w:color="DBEAFE" w:sz="1"/>
            </w:tcBorders>
            <w:shd w:fill="EBF2FB" w:val="clear"/>
            <w:tcMar>
              <w:top w:type="dxa" w:w="100"/>
              <w:left w:type="dxa" w:w="110"/>
              <w:bottom w:type="dxa" w:w="100"/>
              <w:right w:type="dxa" w:w="110"/>
            </w:tcMar>
          </w:tcPr>
          <w:p>
            <w:r>
              <w:rPr>
                <w:rFonts w:ascii="Georgia" w:cs="Georgia" w:eastAsia="Georgia" w:hAnsi="Georgia"/>
                <w:color w:val="111827"/>
                <w:sz w:val="16"/>
                <w:szCs w:val="16"/>
              </w:rPr>
              <w:t xml:space="preserve">Implement secrets management: Hashicorp Vault, AWS Secrets Manager, or GCP Secret Manager for all production secrets. Zero hardcoded credentials policy enforced via SAST (detect-secrets, truffleHog in CI pipeline). Key rotation schedule: API keys rotated quarterly, database passwords monthly, TLS certificates renewed at 60 days before expiry. SAST finds blocking: any credential found in code blocks the merge.</w:t>
            </w:r>
          </w:p>
        </w:tc>
        <w:tc>
          <w:tcPr>
            <w:tcW w:type="auto" w:w="1400"/>
            <w:tcBorders>
              <w:top w:val="single" w:color="DBEAFE" w:sz="1"/>
              <w:left w:val="single" w:color="DBEAFE" w:sz="1"/>
              <w:bottom w:val="single" w:color="DBEAFE" w:sz="1"/>
              <w:right w:val="single" w:color="DBEAFE" w:sz="1"/>
            </w:tcBorders>
            <w:shd w:fill="ECFDF5" w:val="clear"/>
            <w:tcMar>
              <w:top w:type="dxa" w:w="100"/>
              <w:left w:type="dxa" w:w="100"/>
              <w:bottom w:type="dxa" w:w="100"/>
              <w:right w:type="dxa" w:w="100"/>
            </w:tcMar>
          </w:tcPr>
          <w:p>
            <w:r>
              <w:rPr>
                <w:rFonts w:ascii="Georgia" w:cs="Georgia" w:eastAsia="Georgia" w:hAnsi="Georgia"/>
                <w:i/>
                <w:iCs/>
                <w:color w:val="065F46"/>
                <w:sz w:val="15"/>
                <w:szCs w:val="15"/>
              </w:rPr>
              <w:t xml:space="preserve">Secrets manager deployment evidence. SAST scan showing zero credential findings. Key rotation schedule and last rotation records. CI pipeline configuration showing credential detection gate.</w:t>
            </w:r>
          </w:p>
        </w:tc>
      </w:tr>
      <w:tr>
        <w:tc>
          <w:tcPr>
            <w:tcW w:type="auto" w:w="1800"/>
            <w:tcBorders>
              <w:top w:val="single" w:color="DBEAFE" w:sz="1"/>
              <w:left w:val="single" w:color="DBEAFE" w:sz="1"/>
              <w:bottom w:val="single" w:color="DBEAFE" w:sz="1"/>
              <w:right w:val="single" w:color="DBEAFE" w:sz="1"/>
            </w:tcBorders>
            <w:shd w:fill="3730A3" w:val="clear"/>
            <w:tcMar>
              <w:top w:type="dxa" w:w="100"/>
              <w:left w:type="dxa" w:w="110"/>
              <w:bottom w:type="dxa" w:w="100"/>
              <w:right w:type="dxa" w:w="110"/>
            </w:tcMar>
          </w:tcPr>
          <w:p>
            <w:r>
              <w:rPr>
                <w:rFonts w:ascii="Arial" w:cs="Arial" w:eastAsia="Arial" w:hAnsi="Arial"/>
                <w:b/>
                <w:bCs/>
                <w:color w:val="FFFFFF"/>
                <w:sz w:val="17"/>
                <w:szCs w:val="17"/>
              </w:rPr>
              <w:t xml:space="preserve">Container and Kubernetes security</w:t>
            </w:r>
          </w:p>
        </w:tc>
        <w:tc>
          <w:tcPr>
            <w:tcW w:type="auto" w:w="2000"/>
            <w:tcBorders>
              <w:top w:val="single" w:color="DBEAFE" w:sz="1"/>
              <w:left w:val="single" w:color="DBEAFE" w:sz="1"/>
              <w:bottom w:val="single" w:color="DBEAFE" w:sz="1"/>
              <w:right w:val="single" w:color="DBEAFE" w:sz="1"/>
            </w:tcBorders>
            <w:shd w:fill="FFFFFF" w:val="clear"/>
            <w:tcMar>
              <w:top w:type="dxa" w:w="100"/>
              <w:left w:type="dxa" w:w="100"/>
              <w:bottom w:type="dxa" w:w="100"/>
              <w:right w:type="dxa" w:w="100"/>
            </w:tcMar>
          </w:tcPr>
          <w:p>
            <w:r>
              <w:rPr>
                <w:rFonts w:ascii="Georgia" w:cs="Georgia" w:eastAsia="Georgia" w:hAnsi="Georgia"/>
                <w:color w:val="111827"/>
                <w:sz w:val="16"/>
                <w:szCs w:val="16"/>
              </w:rPr>
              <w:t xml:space="preserve">Fintech applications increasingly run in containerized environments (Docker/Kubernetes). Container misconfiguration — running as root, privileged containers, exposed container APIs — creates significant attack surface. Kubernetes RBAC mismanagement is a common lateral movement vector.</w:t>
            </w:r>
          </w:p>
        </w:tc>
        <w:tc>
          <w:tcPr>
            <w:tcW w:type="auto" w:w="1760"/>
            <w:tcBorders>
              <w:top w:val="single" w:color="DBEAFE" w:sz="1"/>
              <w:left w:val="single" w:color="DBEAFE" w:sz="1"/>
              <w:bottom w:val="single" w:color="DBEAFE" w:sz="1"/>
              <w:right w:val="single" w:color="DBEAFE" w:sz="1"/>
            </w:tcBorders>
            <w:shd w:fill="EEF2FF" w:val="clear"/>
            <w:tcMar>
              <w:top w:type="dxa" w:w="100"/>
              <w:left w:type="dxa" w:w="100"/>
              <w:bottom w:type="dxa" w:w="100"/>
              <w:right w:type="dxa" w:w="100"/>
            </w:tcMar>
          </w:tcPr>
          <w:p>
            <w:r>
              <w:rPr>
                <w:rFonts w:ascii="Georgia" w:cs="Georgia" w:eastAsia="Georgia" w:hAnsi="Georgia"/>
                <w:color w:val="3730A3"/>
                <w:sz w:val="15"/>
                <w:szCs w:val="15"/>
              </w:rPr>
              <w:t xml:space="preserve">8.1 (User endpoint devices — container host security), 8.2 (Privileged access rights — Kubernetes RBAC), 8.9 (Configuration management — container baseline configurations), 8.8 (Vulnerability management — container image scanning)</w:t>
            </w:r>
          </w:p>
        </w:tc>
        <w:tc>
          <w:tcPr>
            <w:tcW w:type="auto" w:w="2400"/>
            <w:tcBorders>
              <w:top w:val="single" w:color="DBEAFE" w:sz="1"/>
              <w:left w:val="single" w:color="DBEAFE" w:sz="1"/>
              <w:bottom w:val="single" w:color="DBEAFE" w:sz="1"/>
              <w:right w:val="single" w:color="DBEAFE" w:sz="1"/>
            </w:tcBorders>
            <w:shd w:fill="F0F7FF" w:val="clear"/>
            <w:tcMar>
              <w:top w:type="dxa" w:w="100"/>
              <w:left w:type="dxa" w:w="110"/>
              <w:bottom w:type="dxa" w:w="100"/>
              <w:right w:type="dxa" w:w="110"/>
            </w:tcMar>
          </w:tcPr>
          <w:p>
            <w:r>
              <w:rPr>
                <w:rFonts w:ascii="Georgia" w:cs="Georgia" w:eastAsia="Georgia" w:hAnsi="Georgia"/>
                <w:color w:val="111827"/>
                <w:sz w:val="16"/>
                <w:szCs w:val="16"/>
              </w:rPr>
              <w:t xml:space="preserve">Container security baseline: no root containers, read-only filesystems where possible, resource limits defined, network policies implemented. Container image scanning in CI pipeline (Trivy, Grype) with policy blocking critical CVEs in production images. Kubernetes RBAC: least privilege, no cluster-admin service accounts, audit logging enabled. Regular Kubernetes security assessments (kube-bench against CIS Kubernetes Benchmark).</w:t>
            </w:r>
          </w:p>
        </w:tc>
        <w:tc>
          <w:tcPr>
            <w:tcW w:type="auto" w:w="1400"/>
            <w:tcBorders>
              <w:top w:val="single" w:color="DBEAFE" w:sz="1"/>
              <w:left w:val="single" w:color="DBEAFE" w:sz="1"/>
              <w:bottom w:val="single" w:color="DBEAFE" w:sz="1"/>
              <w:right w:val="single" w:color="DBEAFE" w:sz="1"/>
            </w:tcBorders>
            <w:shd w:fill="ECFDF5" w:val="clear"/>
            <w:tcMar>
              <w:top w:type="dxa" w:w="100"/>
              <w:left w:type="dxa" w:w="100"/>
              <w:bottom w:type="dxa" w:w="100"/>
              <w:right w:type="dxa" w:w="100"/>
            </w:tcMar>
          </w:tcPr>
          <w:p>
            <w:r>
              <w:rPr>
                <w:rFonts w:ascii="Georgia" w:cs="Georgia" w:eastAsia="Georgia" w:hAnsi="Georgia"/>
                <w:i/>
                <w:iCs/>
                <w:color w:val="065F46"/>
                <w:sz w:val="15"/>
                <w:szCs w:val="15"/>
              </w:rPr>
              <w:t xml:space="preserve">Container security policy. CI pipeline image scanning configuration. Kubernetes RBAC configuration review. kube-bench/CIS assessment report. Pod Security Standards enforcement evidence.</w:t>
            </w:r>
          </w:p>
        </w:tc>
      </w:tr>
      <w:tr>
        <w:tc>
          <w:tcPr>
            <w:tcW w:type="auto" w:w="1800"/>
            <w:tcBorders>
              <w:top w:val="single" w:color="DBEAFE" w:sz="1"/>
              <w:left w:val="single" w:color="DBEAFE" w:sz="1"/>
              <w:bottom w:val="single" w:color="DBEAFE" w:sz="1"/>
              <w:right w:val="single" w:color="DBEAFE" w:sz="1"/>
            </w:tcBorders>
            <w:shd w:fill="6D28D9" w:val="clear"/>
            <w:tcMar>
              <w:top w:type="dxa" w:w="100"/>
              <w:left w:type="dxa" w:w="110"/>
              <w:bottom w:type="dxa" w:w="100"/>
              <w:right w:type="dxa" w:w="110"/>
            </w:tcMar>
          </w:tcPr>
          <w:p>
            <w:r>
              <w:rPr>
                <w:rFonts w:ascii="Arial" w:cs="Arial" w:eastAsia="Arial" w:hAnsi="Arial"/>
                <w:b/>
                <w:bCs/>
                <w:color w:val="FFFFFF"/>
                <w:sz w:val="17"/>
                <w:szCs w:val="17"/>
              </w:rPr>
              <w:t xml:space="preserve">Third-party and open source dependency risk</w:t>
            </w:r>
          </w:p>
        </w:tc>
        <w:tc>
          <w:tcPr>
            <w:tcW w:type="auto" w:w="2000"/>
            <w:tcBorders>
              <w:top w:val="single" w:color="DBEAFE" w:sz="1"/>
              <w:left w:val="single" w:color="DBEAFE" w:sz="1"/>
              <w:bottom w:val="single" w:color="DBEAFE" w:sz="1"/>
              <w:right w:val="single" w:color="DBEAFE" w:sz="1"/>
            </w:tcBorders>
            <w:shd w:fill="F3F4F6" w:val="clear"/>
            <w:tcMar>
              <w:top w:type="dxa" w:w="100"/>
              <w:left w:type="dxa" w:w="100"/>
              <w:bottom w:type="dxa" w:w="100"/>
              <w:right w:type="dxa" w:w="100"/>
            </w:tcMar>
          </w:tcPr>
          <w:p>
            <w:r>
              <w:rPr>
                <w:rFonts w:ascii="Georgia" w:cs="Georgia" w:eastAsia="Georgia" w:hAnsi="Georgia"/>
                <w:color w:val="111827"/>
                <w:sz w:val="16"/>
                <w:szCs w:val="16"/>
              </w:rPr>
              <w:t xml:space="preserve">Fintech applications are built on open source libraries and third-party dependencies. Supply chain attacks via compromised dependencies (log4j-type events) and outdated libraries with known CVEs are among the highest-impact attack vectors for technology-heavy fintechs.</w:t>
            </w:r>
          </w:p>
        </w:tc>
        <w:tc>
          <w:tcPr>
            <w:tcW w:type="auto" w:w="1760"/>
            <w:tcBorders>
              <w:top w:val="single" w:color="DBEAFE" w:sz="1"/>
              <w:left w:val="single" w:color="DBEAFE" w:sz="1"/>
              <w:bottom w:val="single" w:color="DBEAFE" w:sz="1"/>
              <w:right w:val="single" w:color="DBEAFE" w:sz="1"/>
            </w:tcBorders>
            <w:shd w:fill="EEF2FF" w:val="clear"/>
            <w:tcMar>
              <w:top w:type="dxa" w:w="100"/>
              <w:left w:type="dxa" w:w="100"/>
              <w:bottom w:type="dxa" w:w="100"/>
              <w:right w:type="dxa" w:w="100"/>
            </w:tcMar>
          </w:tcPr>
          <w:p>
            <w:r>
              <w:rPr>
                <w:rFonts w:ascii="Georgia" w:cs="Georgia" w:eastAsia="Georgia" w:hAnsi="Georgia"/>
                <w:color w:val="3730A3"/>
                <w:sz w:val="15"/>
                <w:szCs w:val="15"/>
              </w:rPr>
              <w:t xml:space="preserve">5.21 (ICT supply chain management — software dependency governance), 8.28 (Secure coding — dependency management), 8.8 (Vulnerability management — CVE monitoring for dependencies)</w:t>
            </w:r>
          </w:p>
        </w:tc>
        <w:tc>
          <w:tcPr>
            <w:tcW w:type="auto" w:w="2400"/>
            <w:tcBorders>
              <w:top w:val="single" w:color="DBEAFE" w:sz="1"/>
              <w:left w:val="single" w:color="DBEAFE" w:sz="1"/>
              <w:bottom w:val="single" w:color="DBEAFE" w:sz="1"/>
              <w:right w:val="single" w:color="DBEAFE" w:sz="1"/>
            </w:tcBorders>
            <w:shd w:fill="EBF2FB" w:val="clear"/>
            <w:tcMar>
              <w:top w:type="dxa" w:w="100"/>
              <w:left w:type="dxa" w:w="110"/>
              <w:bottom w:type="dxa" w:w="100"/>
              <w:right w:type="dxa" w:w="110"/>
            </w:tcMar>
          </w:tcPr>
          <w:p>
            <w:r>
              <w:rPr>
                <w:rFonts w:ascii="Georgia" w:cs="Georgia" w:eastAsia="Georgia" w:hAnsi="Georgia"/>
                <w:color w:val="111827"/>
                <w:sz w:val="16"/>
                <w:szCs w:val="16"/>
              </w:rPr>
              <w:t xml:space="preserve">Implement Software Composition Analysis (SCA) in CI pipeline (Dependabot, Snyk, OWASP Dependency-Check). Policy: block production deployments with critical CVEs in direct dependencies. Maintain approved library list for high-sensitivity components (cryptography, authentication). Subscribe to CVE feeds for critical dependencies. Define dependency update SLA: critical CVEs patched within 30 days, high within 60 days.</w:t>
            </w:r>
          </w:p>
        </w:tc>
        <w:tc>
          <w:tcPr>
            <w:tcW w:type="auto" w:w="1400"/>
            <w:tcBorders>
              <w:top w:val="single" w:color="DBEAFE" w:sz="1"/>
              <w:left w:val="single" w:color="DBEAFE" w:sz="1"/>
              <w:bottom w:val="single" w:color="DBEAFE" w:sz="1"/>
              <w:right w:val="single" w:color="DBEAFE" w:sz="1"/>
            </w:tcBorders>
            <w:shd w:fill="ECFDF5" w:val="clear"/>
            <w:tcMar>
              <w:top w:type="dxa" w:w="100"/>
              <w:left w:type="dxa" w:w="100"/>
              <w:bottom w:type="dxa" w:w="100"/>
              <w:right w:type="dxa" w:w="100"/>
            </w:tcMar>
          </w:tcPr>
          <w:p>
            <w:r>
              <w:rPr>
                <w:rFonts w:ascii="Georgia" w:cs="Georgia" w:eastAsia="Georgia" w:hAnsi="Georgia"/>
                <w:i/>
                <w:iCs/>
                <w:color w:val="065F46"/>
                <w:sz w:val="15"/>
                <w:szCs w:val="15"/>
              </w:rPr>
              <w:t xml:space="preserve">SCA tool CI pipeline integration. Dependency vulnerability report (most recent). CVE remediation records showing SLA compliance. Approved library list for sensitive components.</w:t>
            </w:r>
          </w:p>
        </w:tc>
      </w:tr>
    </w:tbl>
    <w:p>
      <w:pPr>
        <w:spacing w:after="16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single" w:color="B45309" w:sz="1"/>
              <w:left w:val="single" w:color="B45309" w:sz="12"/>
              <w:bottom w:val="single" w:color="B45309" w:sz="1"/>
              <w:right w:val="single" w:color="B45309" w:sz="1"/>
            </w:tcBorders>
            <w:shd w:fill="FFFBEB" w:val="clear"/>
            <w:tcMar>
              <w:top w:type="dxa" w:w="140"/>
              <w:left w:type="dxa" w:w="200"/>
              <w:bottom w:type="dxa" w:w="140"/>
              <w:right w:type="dxa" w:w="160"/>
            </w:tcMar>
          </w:tcPr>
          <w:p>
            <w:r>
              <w:rPr>
                <w:rFonts w:ascii="Georgia" w:cs="Georgia" w:eastAsia="Georgia" w:hAnsi="Georgia"/>
                <w:i/>
                <w:iCs/>
                <w:color w:val="B45309"/>
                <w:sz w:val="21"/>
                <w:szCs w:val="21"/>
              </w:rPr>
              <w:t xml:space="preserve">DevSecOps as the ISMS operational model: Cloud-native fintechs operate at deployment speeds that traditional ISMS change management processes cannot keep pace with. The answer is not to slow deployment — it is to embed security controls in the CI/CD pipeline so that security gates run automatically on every change. SAST for application code, SCA for dependencies, IaC scanning for infrastructure, container image scanning for container deployments, and secrets detection for credential management — these automated gates are more reliable and faster than manual security review while producing the machine-readable evidence logs that auditors accept as control evidence.</w:t>
            </w:r>
          </w:p>
        </w:tc>
      </w:tr>
    </w:tbl>
    <w:p>
      <w:pPr>
        <w:spacing w:after="200"/>
      </w:pPr>
      <w:r>
        <w:t xml:space="preserve"/>
      </w:r>
    </w:p>
    <w:p>
      <w:pPr>
        <w:pStyle w:val="Heading2"/>
        <w:pBdr>
          <w:bottom w:val="single" w:color="2563A8" w:sz="4" w:space="4"/>
        </w:pBdr>
        <w:spacing w:before="400" w:after="160"/>
      </w:pPr>
      <w:r>
        <w:rPr>
          <w:rFonts w:ascii="Arial" w:cs="Arial" w:eastAsia="Arial" w:hAnsi="Arial"/>
          <w:b/>
          <w:bCs/>
          <w:color w:val="1B3A5C"/>
          <w:sz w:val="28"/>
          <w:szCs w:val="28"/>
        </w:rPr>
        <w:t xml:space="preserve">The Multi-Regulator Incident Notification Matrix</w:t>
      </w:r>
    </w:p>
    <w:p>
      <w:pPr>
        <w:spacing w:after="80"/>
      </w:pPr>
      <w:r>
        <w:t xml:space="preserve"/>
      </w:r>
    </w:p>
    <w:p>
      <w:pPr>
        <w:spacing w:after="160" w:line="320"/>
        <w:jc w:val="both"/>
      </w:pPr>
      <w:r>
        <w:rPr>
          <w:rFonts w:ascii="Georgia" w:cs="Georgia" w:eastAsia="Georgia" w:hAnsi="Georgia"/>
          <w:color w:val="111827"/>
          <w:sz w:val="22"/>
          <w:szCs w:val="22"/>
        </w:rPr>
        <w:t xml:space="preserve">One of the most operationally complex challenges for Indonesian fintech organizations is managing incident notifications to multiple regulators simultaneously — with different timelines, different thresholds, and different submission channels. Failing to notify any required regulator within their timeline creates enforcement risk independent of the underlying incident. The matrix below maps four common incident scenarios to their notification obligations:</w:t>
      </w:r>
    </w:p>
    <w:p>
      <w:pPr>
        <w:spacing w:after="12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1960"/>
        <w:gridCol w:w="1200"/>
        <w:gridCol w:w="1400"/>
        <w:gridCol w:w="1200"/>
        <w:gridCol w:w="1200"/>
        <w:gridCol w:w="2400"/>
      </w:tblGrid>
      <w:tr>
        <w:tc>
          <w:tcPr>
            <w:tcW w:type="dxa" w:w="1960"/>
            <w:tcBorders>
              <w:top w:val="single" w:color="DBEAFE" w:sz="1"/>
              <w:left w:val="single" w:color="DBEAFE" w:sz="1"/>
              <w:bottom w:val="single" w:color="DBEAFE" w:sz="1"/>
              <w:right w:val="single" w:color="DBEAFE" w:sz="1"/>
            </w:tcBorders>
            <w:shd w:fill="1B3A5C" w:val="clear"/>
            <w:tcMar>
              <w:top w:type="dxa" w:w="90"/>
              <w:left w:type="dxa" w:w="110"/>
              <w:bottom w:type="dxa" w:w="90"/>
              <w:right w:type="dxa" w:w="110"/>
            </w:tcMar>
          </w:tcPr>
          <w:p>
            <w:r>
              <w:rPr>
                <w:rFonts w:ascii="Arial" w:cs="Arial" w:eastAsia="Arial" w:hAnsi="Arial"/>
                <w:b/>
                <w:bCs/>
                <w:color w:val="FFFFFF"/>
                <w:sz w:val="17"/>
                <w:szCs w:val="17"/>
              </w:rPr>
              <w:t xml:space="preserve">Incident type</w:t>
            </w:r>
          </w:p>
        </w:tc>
        <w:tc>
          <w:tcPr>
            <w:tcW w:type="dxa" w:w="1200"/>
            <w:tcBorders>
              <w:top w:val="single" w:color="DBEAFE" w:sz="1"/>
              <w:left w:val="single" w:color="DBEAFE" w:sz="1"/>
              <w:bottom w:val="single" w:color="DBEAFE" w:sz="1"/>
              <w:right w:val="single" w:color="DBEAFE" w:sz="1"/>
            </w:tcBorders>
            <w:shd w:fill="1B3A5C" w:val="clear"/>
            <w:tcMar>
              <w:top w:type="dxa" w:w="90"/>
              <w:left w:type="dxa" w:w="110"/>
              <w:bottom w:type="dxa" w:w="90"/>
              <w:right w:type="dxa" w:w="110"/>
            </w:tcMar>
          </w:tcPr>
          <w:p>
            <w:r>
              <w:rPr>
                <w:rFonts w:ascii="Arial" w:cs="Arial" w:eastAsia="Arial" w:hAnsi="Arial"/>
                <w:b/>
                <w:bCs/>
                <w:color w:val="FFFFFF"/>
                <w:sz w:val="17"/>
                <w:szCs w:val="17"/>
              </w:rPr>
              <w:t xml:space="preserve">Bank Indonesia</w:t>
            </w:r>
          </w:p>
        </w:tc>
        <w:tc>
          <w:tcPr>
            <w:tcW w:type="dxa" w:w="1400"/>
            <w:tcBorders>
              <w:top w:val="single" w:color="DBEAFE" w:sz="1"/>
              <w:left w:val="single" w:color="DBEAFE" w:sz="1"/>
              <w:bottom w:val="single" w:color="DBEAFE" w:sz="1"/>
              <w:right w:val="single" w:color="DBEAFE" w:sz="1"/>
            </w:tcBorders>
            <w:shd w:fill="1B3A5C" w:val="clear"/>
            <w:tcMar>
              <w:top w:type="dxa" w:w="90"/>
              <w:left w:type="dxa" w:w="110"/>
              <w:bottom w:type="dxa" w:w="90"/>
              <w:right w:type="dxa" w:w="110"/>
            </w:tcMar>
          </w:tcPr>
          <w:p>
            <w:r>
              <w:rPr>
                <w:rFonts w:ascii="Arial" w:cs="Arial" w:eastAsia="Arial" w:hAnsi="Arial"/>
                <w:b/>
                <w:bCs/>
                <w:color w:val="FFFFFF"/>
                <w:sz w:val="17"/>
                <w:szCs w:val="17"/>
              </w:rPr>
              <w:t xml:space="preserve">OJK</w:t>
            </w:r>
          </w:p>
        </w:tc>
        <w:tc>
          <w:tcPr>
            <w:tcW w:type="dxa" w:w="1200"/>
            <w:tcBorders>
              <w:top w:val="single" w:color="DBEAFE" w:sz="1"/>
              <w:left w:val="single" w:color="DBEAFE" w:sz="1"/>
              <w:bottom w:val="single" w:color="DBEAFE" w:sz="1"/>
              <w:right w:val="single" w:color="DBEAFE" w:sz="1"/>
            </w:tcBorders>
            <w:shd w:fill="1B3A5C" w:val="clear"/>
            <w:tcMar>
              <w:top w:type="dxa" w:w="90"/>
              <w:left w:type="dxa" w:w="110"/>
              <w:bottom w:type="dxa" w:w="90"/>
              <w:right w:type="dxa" w:w="110"/>
            </w:tcMar>
          </w:tcPr>
          <w:p>
            <w:r>
              <w:rPr>
                <w:rFonts w:ascii="Arial" w:cs="Arial" w:eastAsia="Arial" w:hAnsi="Arial"/>
                <w:b/>
                <w:bCs/>
                <w:color w:val="FFFFFF"/>
                <w:sz w:val="17"/>
                <w:szCs w:val="17"/>
              </w:rPr>
              <w:t xml:space="preserve">KOMINFO</w:t>
            </w:r>
          </w:p>
        </w:tc>
        <w:tc>
          <w:tcPr>
            <w:tcW w:type="dxa" w:w="1200"/>
            <w:tcBorders>
              <w:top w:val="single" w:color="DBEAFE" w:sz="1"/>
              <w:left w:val="single" w:color="DBEAFE" w:sz="1"/>
              <w:bottom w:val="single" w:color="DBEAFE" w:sz="1"/>
              <w:right w:val="single" w:color="DBEAFE" w:sz="1"/>
            </w:tcBorders>
            <w:shd w:fill="1B3A5C" w:val="clear"/>
            <w:tcMar>
              <w:top w:type="dxa" w:w="90"/>
              <w:left w:type="dxa" w:w="110"/>
              <w:bottom w:type="dxa" w:w="90"/>
              <w:right w:type="dxa" w:w="110"/>
            </w:tcMar>
          </w:tcPr>
          <w:p>
            <w:r>
              <w:rPr>
                <w:rFonts w:ascii="Arial" w:cs="Arial" w:eastAsia="Arial" w:hAnsi="Arial"/>
                <w:b/>
                <w:bCs/>
                <w:color w:val="FFFFFF"/>
                <w:sz w:val="17"/>
                <w:szCs w:val="17"/>
              </w:rPr>
              <w:t xml:space="preserve">Data subjects</w:t>
            </w:r>
          </w:p>
        </w:tc>
        <w:tc>
          <w:tcPr>
            <w:tcW w:type="dxa" w:w="2400"/>
            <w:tcBorders>
              <w:top w:val="single" w:color="DBEAFE" w:sz="1"/>
              <w:left w:val="single" w:color="DBEAFE" w:sz="1"/>
              <w:bottom w:val="single" w:color="DBEAFE" w:sz="1"/>
              <w:right w:val="single" w:color="DBEAFE" w:sz="1"/>
            </w:tcBorders>
            <w:shd w:fill="1B3A5C" w:val="clear"/>
            <w:tcMar>
              <w:top w:type="dxa" w:w="90"/>
              <w:left w:type="dxa" w:w="110"/>
              <w:bottom w:type="dxa" w:w="90"/>
              <w:right w:type="dxa" w:w="110"/>
            </w:tcMar>
          </w:tcPr>
          <w:p>
            <w:r>
              <w:rPr>
                <w:rFonts w:ascii="Arial" w:cs="Arial" w:eastAsia="Arial" w:hAnsi="Arial"/>
                <w:b/>
                <w:bCs/>
                <w:color w:val="FFFFFF"/>
                <w:sz w:val="17"/>
                <w:szCs w:val="17"/>
              </w:rPr>
              <w:t xml:space="preserve">Recommended process</w:t>
            </w:r>
          </w:p>
        </w:tc>
      </w:tr>
      <w:tr>
        <w:tc>
          <w:tcPr>
            <w:tcW w:type="auto" w:w="1960"/>
            <w:tcBorders>
              <w:top w:val="single" w:color="DBEAFE" w:sz="1"/>
              <w:left w:val="single" w:color="DBEAFE" w:sz="1"/>
              <w:bottom w:val="single" w:color="DBEAFE" w:sz="1"/>
              <w:right w:val="single" w:color="DBEAFE" w:sz="1"/>
            </w:tcBorders>
            <w:shd w:fill="991B1B" w:val="clear"/>
            <w:tcMar>
              <w:top w:type="dxa" w:w="100"/>
              <w:left w:type="dxa" w:w="110"/>
              <w:bottom w:type="dxa" w:w="100"/>
              <w:right w:type="dxa" w:w="110"/>
            </w:tcMar>
          </w:tcPr>
          <w:p>
            <w:r>
              <w:rPr>
                <w:rFonts w:ascii="Arial" w:cs="Arial" w:eastAsia="Arial" w:hAnsi="Arial"/>
                <w:b/>
                <w:bCs/>
                <w:color w:val="FFFFFF"/>
                <w:sz w:val="16"/>
                <w:szCs w:val="16"/>
              </w:rPr>
              <w:t xml:space="preserve">Payment system service disruption &gt; 15 minutes</w:t>
            </w:r>
          </w:p>
        </w:tc>
        <w:tc>
          <w:tcPr>
            <w:tcW w:type="auto" w:w="1200"/>
            <w:tcBorders>
              <w:top w:val="single" w:color="DBEAFE" w:sz="1"/>
              <w:left w:val="single" w:color="DBEAFE" w:sz="1"/>
              <w:bottom w:val="single" w:color="DBEAFE" w:sz="1"/>
              <w:right w:val="single" w:color="DBEAFE" w:sz="1"/>
            </w:tcBorders>
            <w:shd w:fill="FEF2F2" w:val="clear"/>
            <w:tcMar>
              <w:top w:type="dxa" w:w="100"/>
              <w:left w:type="dxa" w:w="90"/>
              <w:bottom w:type="dxa" w:w="100"/>
              <w:right w:type="dxa" w:w="90"/>
            </w:tcMar>
          </w:tcPr>
          <w:p>
            <w:r>
              <w:rPr>
                <w:rFonts w:ascii="Georgia" w:cs="Georgia" w:eastAsia="Georgia" w:hAnsi="Georgia"/>
                <w:color w:val="991B1B"/>
                <w:sz w:val="15"/>
                <w:szCs w:val="15"/>
              </w:rPr>
              <w:t xml:space="preserve">Notify BI within 2 hours (PBI 23 Pasal 40)</w:t>
            </w:r>
          </w:p>
        </w:tc>
        <w:tc>
          <w:tcPr>
            <w:tcW w:type="auto" w:w="1400"/>
            <w:tcBorders>
              <w:top w:val="single" w:color="DBEAFE" w:sz="1"/>
              <w:left w:val="single" w:color="DBEAFE" w:sz="1"/>
              <w:bottom w:val="single" w:color="DBEAFE" w:sz="1"/>
              <w:right w:val="single" w:color="DBEAFE" w:sz="1"/>
            </w:tcBorders>
            <w:shd w:fill="FFF7ED" w:val="clear"/>
            <w:tcMar>
              <w:top w:type="dxa" w:w="100"/>
              <w:left w:type="dxa" w:w="90"/>
              <w:bottom w:type="dxa" w:w="100"/>
              <w:right w:type="dxa" w:w="90"/>
            </w:tcMar>
          </w:tcPr>
          <w:p>
            <w:r>
              <w:rPr>
                <w:rFonts w:ascii="Georgia" w:cs="Georgia" w:eastAsia="Georgia" w:hAnsi="Georgia"/>
                <w:color w:val="C2410C"/>
                <w:sz w:val="15"/>
                <w:szCs w:val="15"/>
              </w:rPr>
              <w:t xml:space="preserve">Notify OJK within 3×24 hours if also an OJK-licensed entity (POJK 11 Pasal 39)</w:t>
            </w:r>
          </w:p>
        </w:tc>
        <w:tc>
          <w:tcPr>
            <w:tcW w:type="auto" w:w="1200"/>
            <w:tcBorders>
              <w:top w:val="single" w:color="DBEAFE" w:sz="1"/>
              <w:left w:val="single" w:color="DBEAFE" w:sz="1"/>
              <w:bottom w:val="single" w:color="DBEAFE" w:sz="1"/>
              <w:right w:val="single" w:color="DBEAFE" w:sz="1"/>
            </w:tcBorders>
            <w:shd w:fill="FFFBEB" w:val="clear"/>
            <w:tcMar>
              <w:top w:type="dxa" w:w="100"/>
              <w:left w:type="dxa" w:w="90"/>
              <w:bottom w:type="dxa" w:w="100"/>
              <w:right w:type="dxa" w:w="90"/>
            </w:tcMar>
          </w:tcPr>
          <w:p>
            <w:r>
              <w:rPr>
                <w:rFonts w:ascii="Georgia" w:cs="Georgia" w:eastAsia="Georgia" w:hAnsi="Georgia"/>
                <w:color w:val="B45309"/>
                <w:sz w:val="15"/>
                <w:szCs w:val="15"/>
              </w:rPr>
              <w:t xml:space="preserve">Notify KOMINFO within 14 calendar days if customer personal data was exposed (UU PDP Art. 46)</w:t>
            </w:r>
          </w:p>
        </w:tc>
        <w:tc>
          <w:tcPr>
            <w:tcW w:type="auto" w:w="1200"/>
            <w:tcBorders>
              <w:top w:val="single" w:color="DBEAFE" w:sz="1"/>
              <w:left w:val="single" w:color="DBEAFE" w:sz="1"/>
              <w:bottom w:val="single" w:color="DBEAFE" w:sz="1"/>
              <w:right w:val="single" w:color="DBEAFE" w:sz="1"/>
            </w:tcBorders>
            <w:shd w:fill="EEF2FF" w:val="clear"/>
            <w:tcMar>
              <w:top w:type="dxa" w:w="100"/>
              <w:left w:type="dxa" w:w="90"/>
              <w:bottom w:type="dxa" w:w="100"/>
              <w:right w:type="dxa" w:w="90"/>
            </w:tcMar>
          </w:tcPr>
          <w:p>
            <w:r>
              <w:rPr>
                <w:rFonts w:ascii="Georgia" w:cs="Georgia" w:eastAsia="Georgia" w:hAnsi="Georgia"/>
                <w:color w:val="3730A3"/>
                <w:sz w:val="15"/>
                <w:szCs w:val="15"/>
              </w:rPr>
              <w:t xml:space="preserve">Notify affected customers if service disruption impacts their transactions</w:t>
            </w:r>
          </w:p>
        </w:tc>
        <w:tc>
          <w:tcPr>
            <w:tcW w:type="auto" w:w="2400"/>
            <w:tcBorders>
              <w:top w:val="single" w:color="DBEAFE" w:sz="1"/>
              <w:left w:val="single" w:color="DBEAFE" w:sz="1"/>
              <w:bottom w:val="single" w:color="DBEAFE" w:sz="1"/>
              <w:right w:val="single" w:color="DBEAFE" w:sz="1"/>
            </w:tcBorders>
            <w:shd w:fill="ECFDF5" w:val="clear"/>
            <w:tcMar>
              <w:top w:type="dxa" w:w="100"/>
              <w:left w:type="dxa" w:w="110"/>
              <w:bottom w:type="dxa" w:w="100"/>
              <w:right w:type="dxa" w:w="110"/>
            </w:tcMar>
          </w:tcPr>
          <w:p>
            <w:r>
              <w:rPr>
                <w:rFonts w:ascii="Georgia" w:cs="Georgia" w:eastAsia="Georgia" w:hAnsi="Georgia"/>
                <w:i/>
                <w:iCs/>
                <w:color w:val="065F46"/>
                <w:sz w:val="14"/>
                <w:szCs w:val="14"/>
              </w:rPr>
              <w:t xml:space="preserve">Incident P1 declaration → ISMS Manager notified → BI notification within 2 hours (portal submission) → OJK notification within 72 hours (if applicable) → Customer notification if data affected → KOMINFO notification if personal data breach (14 days)</w:t>
            </w:r>
          </w:p>
        </w:tc>
      </w:tr>
      <w:tr>
        <w:tc>
          <w:tcPr>
            <w:tcW w:type="auto" w:w="1960"/>
            <w:tcBorders>
              <w:top w:val="single" w:color="DBEAFE" w:sz="1"/>
              <w:left w:val="single" w:color="DBEAFE" w:sz="1"/>
              <w:bottom w:val="single" w:color="DBEAFE" w:sz="1"/>
              <w:right w:val="single" w:color="DBEAFE" w:sz="1"/>
            </w:tcBorders>
            <w:shd w:fill="C2410C" w:val="clear"/>
            <w:tcMar>
              <w:top w:type="dxa" w:w="100"/>
              <w:left w:type="dxa" w:w="110"/>
              <w:bottom w:type="dxa" w:w="100"/>
              <w:right w:type="dxa" w:w="110"/>
            </w:tcMar>
          </w:tcPr>
          <w:p>
            <w:r>
              <w:rPr>
                <w:rFonts w:ascii="Arial" w:cs="Arial" w:eastAsia="Arial" w:hAnsi="Arial"/>
                <w:b/>
                <w:bCs/>
                <w:color w:val="FFFFFF"/>
                <w:sz w:val="16"/>
                <w:szCs w:val="16"/>
              </w:rPr>
              <w:t xml:space="preserve">Customer personal data breach (any scale)</w:t>
            </w:r>
          </w:p>
        </w:tc>
        <w:tc>
          <w:tcPr>
            <w:tcW w:type="auto" w:w="1200"/>
            <w:tcBorders>
              <w:top w:val="single" w:color="DBEAFE" w:sz="1"/>
              <w:left w:val="single" w:color="DBEAFE" w:sz="1"/>
              <w:bottom w:val="single" w:color="DBEAFE" w:sz="1"/>
              <w:right w:val="single" w:color="DBEAFE" w:sz="1"/>
            </w:tcBorders>
            <w:shd w:fill="FEF2F2" w:val="clear"/>
            <w:tcMar>
              <w:top w:type="dxa" w:w="100"/>
              <w:left w:type="dxa" w:w="90"/>
              <w:bottom w:type="dxa" w:w="100"/>
              <w:right w:type="dxa" w:w="90"/>
            </w:tcMar>
          </w:tcPr>
          <w:p>
            <w:r>
              <w:rPr>
                <w:rFonts w:ascii="Georgia" w:cs="Georgia" w:eastAsia="Georgia" w:hAnsi="Georgia"/>
                <w:color w:val="991B1B"/>
                <w:sz w:val="15"/>
                <w:szCs w:val="15"/>
              </w:rPr>
              <w:t xml:space="preserve">Notify BI within 2 hours if breach involves payment system data (PBI 23)</w:t>
            </w:r>
          </w:p>
        </w:tc>
        <w:tc>
          <w:tcPr>
            <w:tcW w:type="auto" w:w="1400"/>
            <w:tcBorders>
              <w:top w:val="single" w:color="DBEAFE" w:sz="1"/>
              <w:left w:val="single" w:color="DBEAFE" w:sz="1"/>
              <w:bottom w:val="single" w:color="DBEAFE" w:sz="1"/>
              <w:right w:val="single" w:color="DBEAFE" w:sz="1"/>
            </w:tcBorders>
            <w:shd w:fill="FFF7ED" w:val="clear"/>
            <w:tcMar>
              <w:top w:type="dxa" w:w="100"/>
              <w:left w:type="dxa" w:w="90"/>
              <w:bottom w:type="dxa" w:w="100"/>
              <w:right w:type="dxa" w:w="90"/>
            </w:tcMar>
          </w:tcPr>
          <w:p>
            <w:r>
              <w:rPr>
                <w:rFonts w:ascii="Georgia" w:cs="Georgia" w:eastAsia="Georgia" w:hAnsi="Georgia"/>
                <w:color w:val="C2410C"/>
                <w:sz w:val="15"/>
                <w:szCs w:val="15"/>
              </w:rPr>
              <w:t xml:space="preserve">Notify OJK within 3×24 hours for OJK-licensed entities</w:t>
            </w:r>
          </w:p>
        </w:tc>
        <w:tc>
          <w:tcPr>
            <w:tcW w:type="auto" w:w="1200"/>
            <w:tcBorders>
              <w:top w:val="single" w:color="DBEAFE" w:sz="1"/>
              <w:left w:val="single" w:color="DBEAFE" w:sz="1"/>
              <w:bottom w:val="single" w:color="DBEAFE" w:sz="1"/>
              <w:right w:val="single" w:color="DBEAFE" w:sz="1"/>
            </w:tcBorders>
            <w:shd w:fill="FFFBEB" w:val="clear"/>
            <w:tcMar>
              <w:top w:type="dxa" w:w="100"/>
              <w:left w:type="dxa" w:w="90"/>
              <w:bottom w:type="dxa" w:w="100"/>
              <w:right w:type="dxa" w:w="90"/>
            </w:tcMar>
          </w:tcPr>
          <w:p>
            <w:r>
              <w:rPr>
                <w:rFonts w:ascii="Georgia" w:cs="Georgia" w:eastAsia="Georgia" w:hAnsi="Georgia"/>
                <w:color w:val="B45309"/>
                <w:sz w:val="15"/>
                <w:szCs w:val="15"/>
              </w:rPr>
              <w:t xml:space="preserve">Notify KOMINFO within 14 calendar days of discovery (UU PDP Art. 46) — mandatory</w:t>
            </w:r>
          </w:p>
        </w:tc>
        <w:tc>
          <w:tcPr>
            <w:tcW w:type="auto" w:w="1200"/>
            <w:tcBorders>
              <w:top w:val="single" w:color="DBEAFE" w:sz="1"/>
              <w:left w:val="single" w:color="DBEAFE" w:sz="1"/>
              <w:bottom w:val="single" w:color="DBEAFE" w:sz="1"/>
              <w:right w:val="single" w:color="DBEAFE" w:sz="1"/>
            </w:tcBorders>
            <w:shd w:fill="EEF2FF" w:val="clear"/>
            <w:tcMar>
              <w:top w:type="dxa" w:w="100"/>
              <w:left w:type="dxa" w:w="90"/>
              <w:bottom w:type="dxa" w:w="100"/>
              <w:right w:type="dxa" w:w="90"/>
            </w:tcMar>
          </w:tcPr>
          <w:p>
            <w:r>
              <w:rPr>
                <w:rFonts w:ascii="Georgia" w:cs="Georgia" w:eastAsia="Georgia" w:hAnsi="Georgia"/>
                <w:color w:val="3730A3"/>
                <w:sz w:val="15"/>
                <w:szCs w:val="15"/>
              </w:rPr>
              <w:t xml:space="preserve">Notify affected data subjects if breach creates high risk to their rights (UU PDP Art. 46)</w:t>
            </w:r>
          </w:p>
        </w:tc>
        <w:tc>
          <w:tcPr>
            <w:tcW w:type="auto" w:w="2400"/>
            <w:tcBorders>
              <w:top w:val="single" w:color="DBEAFE" w:sz="1"/>
              <w:left w:val="single" w:color="DBEAFE" w:sz="1"/>
              <w:bottom w:val="single" w:color="DBEAFE" w:sz="1"/>
              <w:right w:val="single" w:color="DBEAFE" w:sz="1"/>
            </w:tcBorders>
            <w:shd w:fill="ECFDF5" w:val="clear"/>
            <w:tcMar>
              <w:top w:type="dxa" w:w="100"/>
              <w:left w:type="dxa" w:w="110"/>
              <w:bottom w:type="dxa" w:w="100"/>
              <w:right w:type="dxa" w:w="110"/>
            </w:tcMar>
          </w:tcPr>
          <w:p>
            <w:r>
              <w:rPr>
                <w:rFonts w:ascii="Georgia" w:cs="Georgia" w:eastAsia="Georgia" w:hAnsi="Georgia"/>
                <w:i/>
                <w:iCs/>
                <w:color w:val="065F46"/>
                <w:sz w:val="14"/>
                <w:szCs w:val="14"/>
              </w:rPr>
              <w:t xml:space="preserve">Breach discovered → BI notification if payment data (2 hrs) → OJK notification (72 hrs) → KOMINFO notification preparation (14-day deadline tracking begins at discovery) → Data subject notification assessment → KOMINFO submission</w:t>
            </w:r>
          </w:p>
        </w:tc>
      </w:tr>
      <w:tr>
        <w:tc>
          <w:tcPr>
            <w:tcW w:type="auto" w:w="1960"/>
            <w:tcBorders>
              <w:top w:val="single" w:color="DBEAFE" w:sz="1"/>
              <w:left w:val="single" w:color="DBEAFE" w:sz="1"/>
              <w:bottom w:val="single" w:color="DBEAFE" w:sz="1"/>
              <w:right w:val="single" w:color="DBEAFE" w:sz="1"/>
            </w:tcBorders>
            <w:shd w:fill="B45309" w:val="clear"/>
            <w:tcMar>
              <w:top w:type="dxa" w:w="100"/>
              <w:left w:type="dxa" w:w="110"/>
              <w:bottom w:type="dxa" w:w="100"/>
              <w:right w:type="dxa" w:w="110"/>
            </w:tcMar>
          </w:tcPr>
          <w:p>
            <w:r>
              <w:rPr>
                <w:rFonts w:ascii="Arial" w:cs="Arial" w:eastAsia="Arial" w:hAnsi="Arial"/>
                <w:b/>
                <w:bCs/>
                <w:color w:val="FFFFFF"/>
                <w:sz w:val="16"/>
                <w:szCs w:val="16"/>
              </w:rPr>
              <w:t xml:space="preserve">Significant cybersecurity incident (no service disruption)</w:t>
            </w:r>
          </w:p>
        </w:tc>
        <w:tc>
          <w:tcPr>
            <w:tcW w:type="auto" w:w="1200"/>
            <w:tcBorders>
              <w:top w:val="single" w:color="DBEAFE" w:sz="1"/>
              <w:left w:val="single" w:color="DBEAFE" w:sz="1"/>
              <w:bottom w:val="single" w:color="DBEAFE" w:sz="1"/>
              <w:right w:val="single" w:color="DBEAFE" w:sz="1"/>
            </w:tcBorders>
            <w:shd w:fill="FEF2F2" w:val="clear"/>
            <w:tcMar>
              <w:top w:type="dxa" w:w="100"/>
              <w:left w:type="dxa" w:w="90"/>
              <w:bottom w:type="dxa" w:w="100"/>
              <w:right w:type="dxa" w:w="90"/>
            </w:tcMar>
          </w:tcPr>
          <w:p>
            <w:r>
              <w:rPr>
                <w:rFonts w:ascii="Georgia" w:cs="Georgia" w:eastAsia="Georgia" w:hAnsi="Georgia"/>
                <w:color w:val="991B1B"/>
                <w:sz w:val="15"/>
                <w:szCs w:val="15"/>
              </w:rPr>
              <w:t xml:space="preserve">Report to BI in monthly/quarterly operational reporting if significant</w:t>
            </w:r>
          </w:p>
        </w:tc>
        <w:tc>
          <w:tcPr>
            <w:tcW w:type="auto" w:w="1400"/>
            <w:tcBorders>
              <w:top w:val="single" w:color="DBEAFE" w:sz="1"/>
              <w:left w:val="single" w:color="DBEAFE" w:sz="1"/>
              <w:bottom w:val="single" w:color="DBEAFE" w:sz="1"/>
              <w:right w:val="single" w:color="DBEAFE" w:sz="1"/>
            </w:tcBorders>
            <w:shd w:fill="FFF7ED" w:val="clear"/>
            <w:tcMar>
              <w:top w:type="dxa" w:w="100"/>
              <w:left w:type="dxa" w:w="90"/>
              <w:bottom w:type="dxa" w:w="100"/>
              <w:right w:type="dxa" w:w="90"/>
            </w:tcMar>
          </w:tcPr>
          <w:p>
            <w:r>
              <w:rPr>
                <w:rFonts w:ascii="Georgia" w:cs="Georgia" w:eastAsia="Georgia" w:hAnsi="Georgia"/>
                <w:color w:val="C2410C"/>
                <w:sz w:val="15"/>
                <w:szCs w:val="15"/>
              </w:rPr>
              <w:t xml:space="preserve">Notify OJK if incident reveals material control failures (POJK 11 Pasal 39 — threshold assessment)</w:t>
            </w:r>
          </w:p>
        </w:tc>
        <w:tc>
          <w:tcPr>
            <w:tcW w:type="auto" w:w="1200"/>
            <w:tcBorders>
              <w:top w:val="single" w:color="DBEAFE" w:sz="1"/>
              <w:left w:val="single" w:color="DBEAFE" w:sz="1"/>
              <w:bottom w:val="single" w:color="DBEAFE" w:sz="1"/>
              <w:right w:val="single" w:color="DBEAFE" w:sz="1"/>
            </w:tcBorders>
            <w:shd w:fill="FFFBEB" w:val="clear"/>
            <w:tcMar>
              <w:top w:type="dxa" w:w="100"/>
              <w:left w:type="dxa" w:w="90"/>
              <w:bottom w:type="dxa" w:w="100"/>
              <w:right w:type="dxa" w:w="90"/>
            </w:tcMar>
          </w:tcPr>
          <w:p>
            <w:r>
              <w:rPr>
                <w:rFonts w:ascii="Georgia" w:cs="Georgia" w:eastAsia="Georgia" w:hAnsi="Georgia"/>
                <w:color w:val="B45309"/>
                <w:sz w:val="15"/>
                <w:szCs w:val="15"/>
              </w:rPr>
              <w:t xml:space="preserve">Notify KOMINFO within 14 days if personal data was exposed</w:t>
            </w:r>
          </w:p>
        </w:tc>
        <w:tc>
          <w:tcPr>
            <w:tcW w:type="auto" w:w="1200"/>
            <w:tcBorders>
              <w:top w:val="single" w:color="DBEAFE" w:sz="1"/>
              <w:left w:val="single" w:color="DBEAFE" w:sz="1"/>
              <w:bottom w:val="single" w:color="DBEAFE" w:sz="1"/>
              <w:right w:val="single" w:color="DBEAFE" w:sz="1"/>
            </w:tcBorders>
            <w:shd w:fill="EEF2FF" w:val="clear"/>
            <w:tcMar>
              <w:top w:type="dxa" w:w="100"/>
              <w:left w:type="dxa" w:w="90"/>
              <w:bottom w:type="dxa" w:w="100"/>
              <w:right w:type="dxa" w:w="90"/>
            </w:tcMar>
          </w:tcPr>
          <w:p>
            <w:r>
              <w:rPr>
                <w:rFonts w:ascii="Georgia" w:cs="Georgia" w:eastAsia="Georgia" w:hAnsi="Georgia"/>
                <w:color w:val="3730A3"/>
                <w:sz w:val="15"/>
                <w:szCs w:val="15"/>
              </w:rPr>
              <w:t xml:space="preserve">Assess if data subject notification required based on risk to their rights</w:t>
            </w:r>
          </w:p>
        </w:tc>
        <w:tc>
          <w:tcPr>
            <w:tcW w:type="auto" w:w="2400"/>
            <w:tcBorders>
              <w:top w:val="single" w:color="DBEAFE" w:sz="1"/>
              <w:left w:val="single" w:color="DBEAFE" w:sz="1"/>
              <w:bottom w:val="single" w:color="DBEAFE" w:sz="1"/>
              <w:right w:val="single" w:color="DBEAFE" w:sz="1"/>
            </w:tcBorders>
            <w:shd w:fill="ECFDF5" w:val="clear"/>
            <w:tcMar>
              <w:top w:type="dxa" w:w="100"/>
              <w:left w:type="dxa" w:w="110"/>
              <w:bottom w:type="dxa" w:w="100"/>
              <w:right w:type="dxa" w:w="110"/>
            </w:tcMar>
          </w:tcPr>
          <w:p>
            <w:r>
              <w:rPr>
                <w:rFonts w:ascii="Georgia" w:cs="Georgia" w:eastAsia="Georgia" w:hAnsi="Georgia"/>
                <w:i/>
                <w:iCs/>
                <w:color w:val="065F46"/>
                <w:sz w:val="14"/>
                <w:szCs w:val="14"/>
              </w:rPr>
              <w:t xml:space="preserve">Classify incident severity → Assess BI/OJK notification thresholds → If threshold met: notify within applicable window → Document classification rationale for non-notified incidents</w:t>
            </w:r>
          </w:p>
        </w:tc>
      </w:tr>
      <w:tr>
        <w:tc>
          <w:tcPr>
            <w:tcW w:type="auto" w:w="1960"/>
            <w:tcBorders>
              <w:top w:val="single" w:color="DBEAFE" w:sz="1"/>
              <w:left w:val="single" w:color="DBEAFE" w:sz="1"/>
              <w:bottom w:val="single" w:color="DBEAFE" w:sz="1"/>
              <w:right w:val="single" w:color="DBEAFE" w:sz="1"/>
            </w:tcBorders>
            <w:shd w:fill="6D28D9" w:val="clear"/>
            <w:tcMar>
              <w:top w:type="dxa" w:w="100"/>
              <w:left w:type="dxa" w:w="110"/>
              <w:bottom w:type="dxa" w:w="100"/>
              <w:right w:type="dxa" w:w="110"/>
            </w:tcMar>
          </w:tcPr>
          <w:p>
            <w:r>
              <w:rPr>
                <w:rFonts w:ascii="Arial" w:cs="Arial" w:eastAsia="Arial" w:hAnsi="Arial"/>
                <w:b/>
                <w:bCs/>
                <w:color w:val="FFFFFF"/>
                <w:sz w:val="16"/>
                <w:szCs w:val="16"/>
              </w:rPr>
              <w:t xml:space="preserve">Fraud incident affecting customer accounts</w:t>
            </w:r>
          </w:p>
        </w:tc>
        <w:tc>
          <w:tcPr>
            <w:tcW w:type="auto" w:w="1200"/>
            <w:tcBorders>
              <w:top w:val="single" w:color="DBEAFE" w:sz="1"/>
              <w:left w:val="single" w:color="DBEAFE" w:sz="1"/>
              <w:bottom w:val="single" w:color="DBEAFE" w:sz="1"/>
              <w:right w:val="single" w:color="DBEAFE" w:sz="1"/>
            </w:tcBorders>
            <w:shd w:fill="FEF2F2" w:val="clear"/>
            <w:tcMar>
              <w:top w:type="dxa" w:w="100"/>
              <w:left w:type="dxa" w:w="90"/>
              <w:bottom w:type="dxa" w:w="100"/>
              <w:right w:type="dxa" w:w="90"/>
            </w:tcMar>
          </w:tcPr>
          <w:p>
            <w:r>
              <w:rPr>
                <w:rFonts w:ascii="Georgia" w:cs="Georgia" w:eastAsia="Georgia" w:hAnsi="Georgia"/>
                <w:color w:val="991B1B"/>
                <w:sz w:val="15"/>
                <w:szCs w:val="15"/>
              </w:rPr>
              <w:t xml:space="preserve">Report in BI fraud monitoring returns. Significant fraud events: BI operational notification</w:t>
            </w:r>
          </w:p>
        </w:tc>
        <w:tc>
          <w:tcPr>
            <w:tcW w:type="auto" w:w="1400"/>
            <w:tcBorders>
              <w:top w:val="single" w:color="DBEAFE" w:sz="1"/>
              <w:left w:val="single" w:color="DBEAFE" w:sz="1"/>
              <w:bottom w:val="single" w:color="DBEAFE" w:sz="1"/>
              <w:right w:val="single" w:color="DBEAFE" w:sz="1"/>
            </w:tcBorders>
            <w:shd w:fill="FFF7ED" w:val="clear"/>
            <w:tcMar>
              <w:top w:type="dxa" w:w="100"/>
              <w:left w:type="dxa" w:w="90"/>
              <w:bottom w:type="dxa" w:w="100"/>
              <w:right w:type="dxa" w:w="90"/>
            </w:tcMar>
          </w:tcPr>
          <w:p>
            <w:r>
              <w:rPr>
                <w:rFonts w:ascii="Georgia" w:cs="Georgia" w:eastAsia="Georgia" w:hAnsi="Georgia"/>
                <w:color w:val="C2410C"/>
                <w:sz w:val="15"/>
                <w:szCs w:val="15"/>
              </w:rPr>
              <w:t xml:space="preserve">OJK consumer protection notification if customer financial loss &gt; threshold</w:t>
            </w:r>
          </w:p>
        </w:tc>
        <w:tc>
          <w:tcPr>
            <w:tcW w:type="auto" w:w="1200"/>
            <w:tcBorders>
              <w:top w:val="single" w:color="DBEAFE" w:sz="1"/>
              <w:left w:val="single" w:color="DBEAFE" w:sz="1"/>
              <w:bottom w:val="single" w:color="DBEAFE" w:sz="1"/>
              <w:right w:val="single" w:color="DBEAFE" w:sz="1"/>
            </w:tcBorders>
            <w:shd w:fill="FFFBEB" w:val="clear"/>
            <w:tcMar>
              <w:top w:type="dxa" w:w="100"/>
              <w:left w:type="dxa" w:w="90"/>
              <w:bottom w:type="dxa" w:w="100"/>
              <w:right w:type="dxa" w:w="90"/>
            </w:tcMar>
          </w:tcPr>
          <w:p>
            <w:r>
              <w:rPr>
                <w:rFonts w:ascii="Georgia" w:cs="Georgia" w:eastAsia="Georgia" w:hAnsi="Georgia"/>
                <w:color w:val="B45309"/>
                <w:sz w:val="15"/>
                <w:szCs w:val="15"/>
              </w:rPr>
              <w:t xml:space="preserve">KOMINFO notification if account takeover involved personal data breach</w:t>
            </w:r>
          </w:p>
        </w:tc>
        <w:tc>
          <w:tcPr>
            <w:tcW w:type="auto" w:w="1200"/>
            <w:tcBorders>
              <w:top w:val="single" w:color="DBEAFE" w:sz="1"/>
              <w:left w:val="single" w:color="DBEAFE" w:sz="1"/>
              <w:bottom w:val="single" w:color="DBEAFE" w:sz="1"/>
              <w:right w:val="single" w:color="DBEAFE" w:sz="1"/>
            </w:tcBorders>
            <w:shd w:fill="EEF2FF" w:val="clear"/>
            <w:tcMar>
              <w:top w:type="dxa" w:w="100"/>
              <w:left w:type="dxa" w:w="90"/>
              <w:bottom w:type="dxa" w:w="100"/>
              <w:right w:type="dxa" w:w="90"/>
            </w:tcMar>
          </w:tcPr>
          <w:p>
            <w:r>
              <w:rPr>
                <w:rFonts w:ascii="Georgia" w:cs="Georgia" w:eastAsia="Georgia" w:hAnsi="Georgia"/>
                <w:color w:val="3730A3"/>
                <w:sz w:val="15"/>
                <w:szCs w:val="15"/>
              </w:rPr>
              <w:t xml:space="preserve">Notify affected customers immediately of fraudulent transactions; provide remediation</w:t>
            </w:r>
          </w:p>
        </w:tc>
        <w:tc>
          <w:tcPr>
            <w:tcW w:type="auto" w:w="2400"/>
            <w:tcBorders>
              <w:top w:val="single" w:color="DBEAFE" w:sz="1"/>
              <w:left w:val="single" w:color="DBEAFE" w:sz="1"/>
              <w:bottom w:val="single" w:color="DBEAFE" w:sz="1"/>
              <w:right w:val="single" w:color="DBEAFE" w:sz="1"/>
            </w:tcBorders>
            <w:shd w:fill="ECFDF5" w:val="clear"/>
            <w:tcMar>
              <w:top w:type="dxa" w:w="100"/>
              <w:left w:type="dxa" w:w="110"/>
              <w:bottom w:type="dxa" w:w="100"/>
              <w:right w:type="dxa" w:w="110"/>
            </w:tcMar>
          </w:tcPr>
          <w:p>
            <w:r>
              <w:rPr>
                <w:rFonts w:ascii="Georgia" w:cs="Georgia" w:eastAsia="Georgia" w:hAnsi="Georgia"/>
                <w:i/>
                <w:iCs/>
                <w:color w:val="065F46"/>
                <w:sz w:val="14"/>
                <w:szCs w:val="14"/>
              </w:rPr>
              <w:t xml:space="preserve">Fraud detection → Customer notification immediately → BI fraud reporting → OJK notification if consumer protection threshold met → KOMINFO if personal data breach → Fraud investigation and root cause analysis</w:t>
            </w:r>
          </w:p>
        </w:tc>
      </w:tr>
    </w:tbl>
    <w:p>
      <w:pPr>
        <w:spacing w:after="160"/>
      </w:pPr>
      <w:r>
        <w:t xml:space="preserve"/>
      </w:r>
    </w:p>
    <w:p>
      <w:pPr>
        <w:spacing w:after="160" w:line="320"/>
        <w:jc w:val="both"/>
      </w:pPr>
      <w:r>
        <w:rPr>
          <w:rFonts w:ascii="Georgia" w:cs="Georgia" w:eastAsia="Georgia" w:hAnsi="Georgia"/>
          <w:color w:val="111827"/>
          <w:sz w:val="22"/>
          <w:szCs w:val="22"/>
        </w:rPr>
        <w:t xml:space="preserve">The incident notification matrix must be embedded in the incident response procedure — not maintained as a separate reference document that staff might not consult under the time pressure of an active incident. The procedure should include: explicit notification triggers per regulator, the notification portal URL and submission format for each regulator, the responsible person for each notification (not the same person if possible — separate accountability), and a notification tracker with countdown timers for each outstanding obligation.</w:t>
      </w:r>
    </w:p>
    <w:p>
      <w:pPr>
        <w:spacing w:after="8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single" w:color="991B1B" w:sz="1"/>
              <w:left w:val="single" w:color="991B1B" w:sz="12"/>
              <w:bottom w:val="single" w:color="991B1B" w:sz="1"/>
              <w:right w:val="single" w:color="991B1B" w:sz="1"/>
            </w:tcBorders>
            <w:shd w:fill="FEF2F2" w:val="clear"/>
            <w:tcMar>
              <w:top w:type="dxa" w:w="140"/>
              <w:left w:type="dxa" w:w="200"/>
              <w:bottom w:type="dxa" w:w="140"/>
              <w:right w:type="dxa" w:w="160"/>
            </w:tcMar>
          </w:tcPr>
          <w:p>
            <w:r>
              <w:rPr>
                <w:rFonts w:ascii="Georgia" w:cs="Georgia" w:eastAsia="Georgia" w:hAnsi="Georgia"/>
                <w:i/>
                <w:iCs/>
                <w:color w:val="991B1B"/>
                <w:sz w:val="21"/>
                <w:szCs w:val="21"/>
              </w:rPr>
              <w:t xml:space="preserve">The 2-hour BI window in practice: An e-money platform experiences a database failure at 14:00. Service is partially degraded — some transactions fail but others process. By 14:15, the ISMS Manager has declared a P1 incident. The 2-hour BI window expires at 16:00. Root cause is still unknown at 16:00 — but the BI notification obligation exists regardless. The notification to BI at 15:45 does not require a root cause: 'We are experiencing a payment processing degradation affecting [X% of transactions] since [14:00]. Estimated [X] customers affected. Investigation ongoing. We will provide further updates as available.' This is the notification BI requires — not a completed incident report.</w:t>
            </w:r>
          </w:p>
        </w:tc>
      </w:tr>
    </w:tbl>
    <w:p>
      <w:pPr>
        <w:spacing w:after="200"/>
      </w:pPr>
      <w:r>
        <w:t xml:space="preserve"/>
      </w:r>
    </w:p>
    <w:p>
      <w:pPr>
        <w:pStyle w:val="Heading2"/>
        <w:pBdr>
          <w:bottom w:val="single" w:color="2563A8" w:sz="4" w:space="4"/>
        </w:pBdr>
        <w:spacing w:before="400" w:after="160"/>
      </w:pPr>
      <w:r>
        <w:rPr>
          <w:rFonts w:ascii="Arial" w:cs="Arial" w:eastAsia="Arial" w:hAnsi="Arial"/>
          <w:b/>
          <w:bCs/>
          <w:color w:val="1B3A5C"/>
          <w:sz w:val="28"/>
          <w:szCs w:val="28"/>
        </w:rPr>
        <w:t xml:space="preserve">ISO 27001 and PCI DSS: The Card Payment Relationship</w:t>
      </w:r>
    </w:p>
    <w:p>
      <w:pPr>
        <w:spacing w:after="80"/>
      </w:pPr>
      <w:r>
        <w:t xml:space="preserve"/>
      </w:r>
    </w:p>
    <w:p>
      <w:pPr>
        <w:spacing w:after="160" w:line="320"/>
        <w:jc w:val="both"/>
      </w:pPr>
      <w:r>
        <w:rPr>
          <w:rFonts w:ascii="Georgia" w:cs="Georgia" w:eastAsia="Georgia" w:hAnsi="Georgia"/>
          <w:color w:val="111827"/>
          <w:sz w:val="22"/>
          <w:szCs w:val="22"/>
        </w:rPr>
        <w:t xml:space="preserve">For fintech organizations that process card payments — payment gateways, e-commerce platforms with direct card acceptance, card-issuing fintechs — PCI DSS (Payment Card Industry Data Security Standard) is a mandatory requirement imposed by the card networks (Visa, Mastercard) independent of Indonesian regulation. The relationship between ISO 27001 and PCI DSS is complementary but distinct:</w:t>
      </w:r>
    </w:p>
    <w:p>
      <w:pPr>
        <w:spacing w:after="12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2200"/>
        <w:gridCol w:w="3580"/>
        <w:gridCol w:w="3580"/>
      </w:tblGrid>
      <w:tr>
        <w:tc>
          <w:tcPr>
            <w:tcW w:type="dxa" w:w="2200"/>
            <w:tcBorders>
              <w:top w:val="single" w:color="DBEAFE" w:sz="1"/>
              <w:left w:val="single" w:color="DBEAFE" w:sz="1"/>
              <w:bottom w:val="single" w:color="DBEAFE" w:sz="1"/>
              <w:right w:val="single" w:color="DBEAFE" w:sz="1"/>
            </w:tcBorders>
            <w:shd w:fill="1B3A5C" w:val="clear"/>
            <w:tcMar>
              <w:top w:type="dxa" w:w="90"/>
              <w:left w:type="dxa" w:w="110"/>
              <w:bottom w:type="dxa" w:w="90"/>
              <w:right w:type="dxa" w:w="110"/>
            </w:tcMar>
          </w:tcPr>
          <w:p>
            <w:r>
              <w:rPr>
                <w:rFonts w:ascii="Arial" w:cs="Arial" w:eastAsia="Arial" w:hAnsi="Arial"/>
                <w:b/>
                <w:bCs/>
                <w:color w:val="FFFFFF"/>
                <w:sz w:val="18"/>
                <w:szCs w:val="18"/>
              </w:rPr>
              <w:t xml:space="preserve">Dimension</w:t>
            </w:r>
          </w:p>
        </w:tc>
        <w:tc>
          <w:tcPr>
            <w:tcW w:type="dxa" w:w="3580"/>
            <w:tcBorders>
              <w:top w:val="single" w:color="DBEAFE" w:sz="1"/>
              <w:left w:val="single" w:color="DBEAFE" w:sz="1"/>
              <w:bottom w:val="single" w:color="DBEAFE" w:sz="1"/>
              <w:right w:val="single" w:color="DBEAFE" w:sz="1"/>
            </w:tcBorders>
            <w:shd w:fill="991B1B" w:val="clear"/>
            <w:tcMar>
              <w:top w:type="dxa" w:w="90"/>
              <w:left w:type="dxa" w:w="110"/>
              <w:bottom w:type="dxa" w:w="90"/>
              <w:right w:type="dxa" w:w="110"/>
            </w:tcMar>
          </w:tcPr>
          <w:p>
            <w:r>
              <w:rPr>
                <w:rFonts w:ascii="Arial" w:cs="Arial" w:eastAsia="Arial" w:hAnsi="Arial"/>
                <w:b/>
                <w:bCs/>
                <w:color w:val="FFFFFF"/>
                <w:sz w:val="18"/>
                <w:szCs w:val="18"/>
              </w:rPr>
              <w:t xml:space="preserve">PCI DSS</w:t>
            </w:r>
          </w:p>
        </w:tc>
        <w:tc>
          <w:tcPr>
            <w:tcW w:type="dxa" w:w="3580"/>
            <w:tcBorders>
              <w:top w:val="single" w:color="DBEAFE" w:sz="1"/>
              <w:left w:val="single" w:color="DBEAFE" w:sz="1"/>
              <w:bottom w:val="single" w:color="DBEAFE" w:sz="1"/>
              <w:right w:val="single" w:color="DBEAFE" w:sz="1"/>
            </w:tcBorders>
            <w:shd w:fill="2563A8" w:val="clear"/>
            <w:tcMar>
              <w:top w:type="dxa" w:w="90"/>
              <w:left w:type="dxa" w:w="110"/>
              <w:bottom w:type="dxa" w:w="90"/>
              <w:right w:type="dxa" w:w="110"/>
            </w:tcMar>
          </w:tcPr>
          <w:p>
            <w:r>
              <w:rPr>
                <w:rFonts w:ascii="Arial" w:cs="Arial" w:eastAsia="Arial" w:hAnsi="Arial"/>
                <w:b/>
                <w:bCs/>
                <w:color w:val="FFFFFF"/>
                <w:sz w:val="18"/>
                <w:szCs w:val="18"/>
              </w:rPr>
              <w:t xml:space="preserve">ISO 27001</w:t>
            </w:r>
          </w:p>
        </w:tc>
      </w:tr>
      <w:tr>
        <w:tc>
          <w:tcPr>
            <w:tcW w:type="auto" w:w="2200"/>
            <w:tcBorders>
              <w:top w:val="single" w:color="DBEAFE" w:sz="1"/>
              <w:left w:val="single" w:color="DBEAFE" w:sz="1"/>
              <w:bottom w:val="single" w:color="DBEAFE" w:sz="1"/>
              <w:right w:val="single" w:color="DBEAFE" w:sz="1"/>
            </w:tcBorders>
            <w:shd w:fill="F3F4F6" w:val="clear"/>
            <w:tcMar>
              <w:top w:type="dxa" w:w="100"/>
              <w:left w:type="dxa" w:w="110"/>
              <w:bottom w:type="dxa" w:w="100"/>
              <w:right w:type="dxa" w:w="110"/>
            </w:tcMar>
          </w:tcPr>
          <w:p>
            <w:r>
              <w:rPr>
                <w:rFonts w:ascii="Arial" w:cs="Arial" w:eastAsia="Arial" w:hAnsi="Arial"/>
                <w:b/>
                <w:bCs/>
                <w:color w:val="1B3A5C"/>
                <w:sz w:val="18"/>
                <w:szCs w:val="18"/>
              </w:rPr>
              <w:t xml:space="preserve">Standard type</w:t>
            </w:r>
          </w:p>
        </w:tc>
        <w:tc>
          <w:tcPr>
            <w:tcW w:type="auto" w:w="3580"/>
            <w:tcBorders>
              <w:top w:val="single" w:color="DBEAFE" w:sz="1"/>
              <w:left w:val="single" w:color="DBEAFE" w:sz="1"/>
              <w:bottom w:val="single" w:color="DBEAFE" w:sz="1"/>
              <w:right w:val="single" w:color="DBEAFE" w:sz="1"/>
            </w:tcBorders>
            <w:shd w:fill="FEF2F2" w:val="clear"/>
            <w:tcMar>
              <w:top w:type="dxa" w:w="100"/>
              <w:left w:type="dxa" w:w="110"/>
              <w:bottom w:type="dxa" w:w="100"/>
              <w:right w:type="dxa" w:w="110"/>
            </w:tcMar>
          </w:tcPr>
          <w:p>
            <w:r>
              <w:rPr>
                <w:rFonts w:ascii="Georgia" w:cs="Georgia" w:eastAsia="Georgia" w:hAnsi="Georgia"/>
                <w:color w:val="111827"/>
                <w:sz w:val="18"/>
                <w:szCs w:val="18"/>
              </w:rPr>
              <w:t xml:space="preserve">Payment security standard — specific, prescriptive, PCI SSC-governed</w:t>
            </w:r>
          </w:p>
        </w:tc>
        <w:tc>
          <w:tcPr>
            <w:tcW w:type="auto" w:w="3580"/>
            <w:tcBorders>
              <w:top w:val="single" w:color="DBEAFE" w:sz="1"/>
              <w:left w:val="single" w:color="DBEAFE" w:sz="1"/>
              <w:bottom w:val="single" w:color="DBEAFE" w:sz="1"/>
              <w:right w:val="single" w:color="DBEAFE" w:sz="1"/>
            </w:tcBorders>
            <w:shd w:fill="EBF2FB" w:val="clear"/>
            <w:tcMar>
              <w:top w:type="dxa" w:w="100"/>
              <w:left w:type="dxa" w:w="110"/>
              <w:bottom w:type="dxa" w:w="100"/>
              <w:right w:type="dxa" w:w="110"/>
            </w:tcMar>
          </w:tcPr>
          <w:p>
            <w:r>
              <w:rPr>
                <w:rFonts w:ascii="Georgia" w:cs="Georgia" w:eastAsia="Georgia" w:hAnsi="Georgia"/>
                <w:color w:val="111827"/>
                <w:sz w:val="18"/>
                <w:szCs w:val="18"/>
              </w:rPr>
              <w:t xml:space="preserve">Information security management system standard — principle-based, risk-driven, ISO-governed</w:t>
            </w:r>
          </w:p>
        </w:tc>
      </w:tr>
      <w:tr>
        <w:tc>
          <w:tcPr>
            <w:tcW w:type="auto" w:w="2200"/>
            <w:tcBorders>
              <w:top w:val="single" w:color="DBEAFE" w:sz="1"/>
              <w:left w:val="single" w:color="DBEAFE" w:sz="1"/>
              <w:bottom w:val="single" w:color="DBEAFE" w:sz="1"/>
              <w:right w:val="single" w:color="DBEAFE" w:sz="1"/>
            </w:tcBorders>
            <w:shd w:fill="FFFFFF" w:val="clear"/>
            <w:tcMar>
              <w:top w:type="dxa" w:w="100"/>
              <w:left w:type="dxa" w:w="110"/>
              <w:bottom w:type="dxa" w:w="100"/>
              <w:right w:type="dxa" w:w="110"/>
            </w:tcMar>
          </w:tcPr>
          <w:p>
            <w:r>
              <w:rPr>
                <w:rFonts w:ascii="Arial" w:cs="Arial" w:eastAsia="Arial" w:hAnsi="Arial"/>
                <w:b/>
                <w:bCs/>
                <w:color w:val="1B3A5C"/>
                <w:sz w:val="18"/>
                <w:szCs w:val="18"/>
              </w:rPr>
              <w:t xml:space="preserve">Applicability</w:t>
            </w:r>
          </w:p>
        </w:tc>
        <w:tc>
          <w:tcPr>
            <w:tcW w:type="auto" w:w="3580"/>
            <w:tcBorders>
              <w:top w:val="single" w:color="DBEAFE" w:sz="1"/>
              <w:left w:val="single" w:color="DBEAFE" w:sz="1"/>
              <w:bottom w:val="single" w:color="DBEAFE" w:sz="1"/>
              <w:right w:val="single" w:color="DBEAFE" w:sz="1"/>
            </w:tcBorders>
            <w:shd w:fill="FFF5F5" w:val="clear"/>
            <w:tcMar>
              <w:top w:type="dxa" w:w="100"/>
              <w:left w:type="dxa" w:w="110"/>
              <w:bottom w:type="dxa" w:w="100"/>
              <w:right w:type="dxa" w:w="110"/>
            </w:tcMar>
          </w:tcPr>
          <w:p>
            <w:r>
              <w:rPr>
                <w:rFonts w:ascii="Georgia" w:cs="Georgia" w:eastAsia="Georgia" w:hAnsi="Georgia"/>
                <w:color w:val="111827"/>
                <w:sz w:val="18"/>
                <w:szCs w:val="18"/>
              </w:rPr>
              <w:t xml:space="preserve">Mandatory for any organization that stores, processes, or transmits cardholder data (card numbers, CVV, PIN)</w:t>
            </w:r>
          </w:p>
        </w:tc>
        <w:tc>
          <w:tcPr>
            <w:tcW w:type="auto" w:w="3580"/>
            <w:tcBorders>
              <w:top w:val="single" w:color="DBEAFE" w:sz="1"/>
              <w:left w:val="single" w:color="DBEAFE" w:sz="1"/>
              <w:bottom w:val="single" w:color="DBEAFE" w:sz="1"/>
              <w:right w:val="single" w:color="DBEAFE" w:sz="1"/>
            </w:tcBorders>
            <w:shd w:fill="F0F7FF" w:val="clear"/>
            <w:tcMar>
              <w:top w:type="dxa" w:w="100"/>
              <w:left w:type="dxa" w:w="110"/>
              <w:bottom w:type="dxa" w:w="100"/>
              <w:right w:type="dxa" w:w="110"/>
            </w:tcMar>
          </w:tcPr>
          <w:p>
            <w:r>
              <w:rPr>
                <w:rFonts w:ascii="Georgia" w:cs="Georgia" w:eastAsia="Georgia" w:hAnsi="Georgia"/>
                <w:color w:val="111827"/>
                <w:sz w:val="18"/>
                <w:szCs w:val="18"/>
              </w:rPr>
              <w:t xml:space="preserve">Voluntary certification — relevant for all organizations handling sensitive information. Mandatory in some regulatory contexts (OJK, BI examinations).</w:t>
            </w:r>
          </w:p>
        </w:tc>
      </w:tr>
      <w:tr>
        <w:tc>
          <w:tcPr>
            <w:tcW w:type="auto" w:w="2200"/>
            <w:tcBorders>
              <w:top w:val="single" w:color="DBEAFE" w:sz="1"/>
              <w:left w:val="single" w:color="DBEAFE" w:sz="1"/>
              <w:bottom w:val="single" w:color="DBEAFE" w:sz="1"/>
              <w:right w:val="single" w:color="DBEAFE" w:sz="1"/>
            </w:tcBorders>
            <w:shd w:fill="F3F4F6" w:val="clear"/>
            <w:tcMar>
              <w:top w:type="dxa" w:w="100"/>
              <w:left w:type="dxa" w:w="110"/>
              <w:bottom w:type="dxa" w:w="100"/>
              <w:right w:type="dxa" w:w="110"/>
            </w:tcMar>
          </w:tcPr>
          <w:p>
            <w:r>
              <w:rPr>
                <w:rFonts w:ascii="Arial" w:cs="Arial" w:eastAsia="Arial" w:hAnsi="Arial"/>
                <w:b/>
                <w:bCs/>
                <w:color w:val="1B3A5C"/>
                <w:sz w:val="18"/>
                <w:szCs w:val="18"/>
              </w:rPr>
              <w:t xml:space="preserve">Control prescription</w:t>
            </w:r>
          </w:p>
        </w:tc>
        <w:tc>
          <w:tcPr>
            <w:tcW w:type="auto" w:w="3580"/>
            <w:tcBorders>
              <w:top w:val="single" w:color="DBEAFE" w:sz="1"/>
              <w:left w:val="single" w:color="DBEAFE" w:sz="1"/>
              <w:bottom w:val="single" w:color="DBEAFE" w:sz="1"/>
              <w:right w:val="single" w:color="DBEAFE" w:sz="1"/>
            </w:tcBorders>
            <w:shd w:fill="FEF2F2" w:val="clear"/>
            <w:tcMar>
              <w:top w:type="dxa" w:w="100"/>
              <w:left w:type="dxa" w:w="110"/>
              <w:bottom w:type="dxa" w:w="100"/>
              <w:right w:type="dxa" w:w="110"/>
            </w:tcMar>
          </w:tcPr>
          <w:p>
            <w:r>
              <w:rPr>
                <w:rFonts w:ascii="Georgia" w:cs="Georgia" w:eastAsia="Georgia" w:hAnsi="Georgia"/>
                <w:color w:val="111827"/>
                <w:sz w:val="18"/>
                <w:szCs w:val="18"/>
              </w:rPr>
              <w:t xml:space="preserve">Highly prescriptive: specific technical requirements, specific configurations, specific testing methods and frequencies</w:t>
            </w:r>
          </w:p>
        </w:tc>
        <w:tc>
          <w:tcPr>
            <w:tcW w:type="auto" w:w="3580"/>
            <w:tcBorders>
              <w:top w:val="single" w:color="DBEAFE" w:sz="1"/>
              <w:left w:val="single" w:color="DBEAFE" w:sz="1"/>
              <w:bottom w:val="single" w:color="DBEAFE" w:sz="1"/>
              <w:right w:val="single" w:color="DBEAFE" w:sz="1"/>
            </w:tcBorders>
            <w:shd w:fill="EBF2FB" w:val="clear"/>
            <w:tcMar>
              <w:top w:type="dxa" w:w="100"/>
              <w:left w:type="dxa" w:w="110"/>
              <w:bottom w:type="dxa" w:w="100"/>
              <w:right w:type="dxa" w:w="110"/>
            </w:tcMar>
          </w:tcPr>
          <w:p>
            <w:r>
              <w:rPr>
                <w:rFonts w:ascii="Georgia" w:cs="Georgia" w:eastAsia="Georgia" w:hAnsi="Georgia"/>
                <w:color w:val="111827"/>
                <w:sz w:val="18"/>
                <w:szCs w:val="18"/>
              </w:rPr>
              <w:t xml:space="preserve">Principle-based: define controls appropriate to the risk. Organization chooses implementation based on risk assessment.</w:t>
            </w:r>
          </w:p>
        </w:tc>
      </w:tr>
      <w:tr>
        <w:tc>
          <w:tcPr>
            <w:tcW w:type="auto" w:w="2200"/>
            <w:tcBorders>
              <w:top w:val="single" w:color="DBEAFE" w:sz="1"/>
              <w:left w:val="single" w:color="DBEAFE" w:sz="1"/>
              <w:bottom w:val="single" w:color="DBEAFE" w:sz="1"/>
              <w:right w:val="single" w:color="DBEAFE" w:sz="1"/>
            </w:tcBorders>
            <w:shd w:fill="FFFFFF" w:val="clear"/>
            <w:tcMar>
              <w:top w:type="dxa" w:w="100"/>
              <w:left w:type="dxa" w:w="110"/>
              <w:bottom w:type="dxa" w:w="100"/>
              <w:right w:type="dxa" w:w="110"/>
            </w:tcMar>
          </w:tcPr>
          <w:p>
            <w:r>
              <w:rPr>
                <w:rFonts w:ascii="Arial" w:cs="Arial" w:eastAsia="Arial" w:hAnsi="Arial"/>
                <w:b/>
                <w:bCs/>
                <w:color w:val="1B3A5C"/>
                <w:sz w:val="18"/>
                <w:szCs w:val="18"/>
              </w:rPr>
              <w:t xml:space="preserve">Scope</w:t>
            </w:r>
          </w:p>
        </w:tc>
        <w:tc>
          <w:tcPr>
            <w:tcW w:type="auto" w:w="3580"/>
            <w:tcBorders>
              <w:top w:val="single" w:color="DBEAFE" w:sz="1"/>
              <w:left w:val="single" w:color="DBEAFE" w:sz="1"/>
              <w:bottom w:val="single" w:color="DBEAFE" w:sz="1"/>
              <w:right w:val="single" w:color="DBEAFE" w:sz="1"/>
            </w:tcBorders>
            <w:shd w:fill="FFF5F5" w:val="clear"/>
            <w:tcMar>
              <w:top w:type="dxa" w:w="100"/>
              <w:left w:type="dxa" w:w="110"/>
              <w:bottom w:type="dxa" w:w="100"/>
              <w:right w:type="dxa" w:w="110"/>
            </w:tcMar>
          </w:tcPr>
          <w:p>
            <w:r>
              <w:rPr>
                <w:rFonts w:ascii="Georgia" w:cs="Georgia" w:eastAsia="Georgia" w:hAnsi="Georgia"/>
                <w:color w:val="111827"/>
                <w:sz w:val="18"/>
                <w:szCs w:val="18"/>
              </w:rPr>
              <w:t xml:space="preserve">Cardholder Data Environment (CDE) — systems that store, process, or transmit card data and connected systems</w:t>
            </w:r>
          </w:p>
        </w:tc>
        <w:tc>
          <w:tcPr>
            <w:tcW w:type="auto" w:w="3580"/>
            <w:tcBorders>
              <w:top w:val="single" w:color="DBEAFE" w:sz="1"/>
              <w:left w:val="single" w:color="DBEAFE" w:sz="1"/>
              <w:bottom w:val="single" w:color="DBEAFE" w:sz="1"/>
              <w:right w:val="single" w:color="DBEAFE" w:sz="1"/>
            </w:tcBorders>
            <w:shd w:fill="F0F7FF" w:val="clear"/>
            <w:tcMar>
              <w:top w:type="dxa" w:w="100"/>
              <w:left w:type="dxa" w:w="110"/>
              <w:bottom w:type="dxa" w:w="100"/>
              <w:right w:type="dxa" w:w="110"/>
            </w:tcMar>
          </w:tcPr>
          <w:p>
            <w:r>
              <w:rPr>
                <w:rFonts w:ascii="Georgia" w:cs="Georgia" w:eastAsia="Georgia" w:hAnsi="Georgia"/>
                <w:color w:val="111827"/>
                <w:sz w:val="18"/>
                <w:szCs w:val="18"/>
              </w:rPr>
              <w:t xml:space="preserve">ISMS scope — defined by the organization. Can be narrower or broader than the CDE.</w:t>
            </w:r>
          </w:p>
        </w:tc>
      </w:tr>
      <w:tr>
        <w:tc>
          <w:tcPr>
            <w:tcW w:type="auto" w:w="2200"/>
            <w:tcBorders>
              <w:top w:val="single" w:color="DBEAFE" w:sz="1"/>
              <w:left w:val="single" w:color="DBEAFE" w:sz="1"/>
              <w:bottom w:val="single" w:color="DBEAFE" w:sz="1"/>
              <w:right w:val="single" w:color="DBEAFE" w:sz="1"/>
            </w:tcBorders>
            <w:shd w:fill="F3F4F6" w:val="clear"/>
            <w:tcMar>
              <w:top w:type="dxa" w:w="100"/>
              <w:left w:type="dxa" w:w="110"/>
              <w:bottom w:type="dxa" w:w="100"/>
              <w:right w:type="dxa" w:w="110"/>
            </w:tcMar>
          </w:tcPr>
          <w:p>
            <w:r>
              <w:rPr>
                <w:rFonts w:ascii="Arial" w:cs="Arial" w:eastAsia="Arial" w:hAnsi="Arial"/>
                <w:b/>
                <w:bCs/>
                <w:color w:val="1B3A5C"/>
                <w:sz w:val="18"/>
                <w:szCs w:val="18"/>
              </w:rPr>
              <w:t xml:space="preserve">Verification</w:t>
            </w:r>
          </w:p>
        </w:tc>
        <w:tc>
          <w:tcPr>
            <w:tcW w:type="auto" w:w="3580"/>
            <w:tcBorders>
              <w:top w:val="single" w:color="DBEAFE" w:sz="1"/>
              <w:left w:val="single" w:color="DBEAFE" w:sz="1"/>
              <w:bottom w:val="single" w:color="DBEAFE" w:sz="1"/>
              <w:right w:val="single" w:color="DBEAFE" w:sz="1"/>
            </w:tcBorders>
            <w:shd w:fill="FEF2F2" w:val="clear"/>
            <w:tcMar>
              <w:top w:type="dxa" w:w="100"/>
              <w:left w:type="dxa" w:w="110"/>
              <w:bottom w:type="dxa" w:w="100"/>
              <w:right w:type="dxa" w:w="110"/>
            </w:tcMar>
          </w:tcPr>
          <w:p>
            <w:r>
              <w:rPr>
                <w:rFonts w:ascii="Georgia" w:cs="Georgia" w:eastAsia="Georgia" w:hAnsi="Georgia"/>
                <w:color w:val="111827"/>
                <w:sz w:val="18"/>
                <w:szCs w:val="18"/>
              </w:rPr>
              <w:t xml:space="preserve">Annual assessment by a Qualified Security Assessor (QSA) for Level 1 merchants; Self-Assessment Questionnaire (SAQ) for lower levels. Quarterly vulnerability scans by Approved Scanning Vendor (ASV).</w:t>
            </w:r>
          </w:p>
        </w:tc>
        <w:tc>
          <w:tcPr>
            <w:tcW w:type="auto" w:w="3580"/>
            <w:tcBorders>
              <w:top w:val="single" w:color="DBEAFE" w:sz="1"/>
              <w:left w:val="single" w:color="DBEAFE" w:sz="1"/>
              <w:bottom w:val="single" w:color="DBEAFE" w:sz="1"/>
              <w:right w:val="single" w:color="DBEAFE" w:sz="1"/>
            </w:tcBorders>
            <w:shd w:fill="EBF2FB" w:val="clear"/>
            <w:tcMar>
              <w:top w:type="dxa" w:w="100"/>
              <w:left w:type="dxa" w:w="110"/>
              <w:bottom w:type="dxa" w:w="100"/>
              <w:right w:type="dxa" w:w="110"/>
            </w:tcMar>
          </w:tcPr>
          <w:p>
            <w:r>
              <w:rPr>
                <w:rFonts w:ascii="Georgia" w:cs="Georgia" w:eastAsia="Georgia" w:hAnsi="Georgia"/>
                <w:color w:val="111827"/>
                <w:sz w:val="18"/>
                <w:szCs w:val="18"/>
              </w:rPr>
              <w:t xml:space="preserve">Certification audit by accredited certification body (KAN/IAF). Annual surveillance audits. Recertification every 3 years.</w:t>
            </w:r>
          </w:p>
        </w:tc>
      </w:tr>
      <w:tr>
        <w:tc>
          <w:tcPr>
            <w:tcW w:type="auto" w:w="2200"/>
            <w:tcBorders>
              <w:top w:val="single" w:color="DBEAFE" w:sz="1"/>
              <w:left w:val="single" w:color="DBEAFE" w:sz="1"/>
              <w:bottom w:val="single" w:color="DBEAFE" w:sz="1"/>
              <w:right w:val="single" w:color="DBEAFE" w:sz="1"/>
            </w:tcBorders>
            <w:shd w:fill="FFFFFF" w:val="clear"/>
            <w:tcMar>
              <w:top w:type="dxa" w:w="100"/>
              <w:left w:type="dxa" w:w="110"/>
              <w:bottom w:type="dxa" w:w="100"/>
              <w:right w:type="dxa" w:w="110"/>
            </w:tcMar>
          </w:tcPr>
          <w:p>
            <w:r>
              <w:rPr>
                <w:rFonts w:ascii="Arial" w:cs="Arial" w:eastAsia="Arial" w:hAnsi="Arial"/>
                <w:b/>
                <w:bCs/>
                <w:color w:val="1B3A5C"/>
                <w:sz w:val="18"/>
                <w:szCs w:val="18"/>
              </w:rPr>
              <w:t xml:space="preserve">How ISO 27001 supports PCI DSS</w:t>
            </w:r>
          </w:p>
        </w:tc>
        <w:tc>
          <w:tcPr>
            <w:tcW w:type="auto" w:w="3580"/>
            <w:tcBorders>
              <w:top w:val="single" w:color="DBEAFE" w:sz="1"/>
              <w:left w:val="single" w:color="DBEAFE" w:sz="1"/>
              <w:bottom w:val="single" w:color="DBEAFE" w:sz="1"/>
              <w:right w:val="single" w:color="DBEAFE" w:sz="1"/>
            </w:tcBorders>
            <w:shd w:fill="FFF5F5" w:val="clear"/>
            <w:tcMar>
              <w:top w:type="dxa" w:w="100"/>
              <w:left w:type="dxa" w:w="110"/>
              <w:bottom w:type="dxa" w:w="100"/>
              <w:right w:type="dxa" w:w="110"/>
            </w:tcMar>
          </w:tcPr>
          <w:p>
            <w:r>
              <w:rPr>
                <w:rFonts w:ascii="Georgia" w:cs="Georgia" w:eastAsia="Georgia" w:hAnsi="Georgia"/>
                <w:color w:val="111827"/>
                <w:sz w:val="18"/>
                <w:szCs w:val="18"/>
              </w:rPr>
              <w:t xml:space="preserve">ISO 27001's management system provides the governance infrastructure for PCI DSS: risk management, policy management, document control, internal audit, management review, corrective action. PCI DSS controls are implemented within the ISO 27001 ISMS framework.</w:t>
            </w:r>
          </w:p>
        </w:tc>
        <w:tc>
          <w:tcPr>
            <w:tcW w:type="auto" w:w="3580"/>
            <w:tcBorders>
              <w:top w:val="single" w:color="DBEAFE" w:sz="1"/>
              <w:left w:val="single" w:color="DBEAFE" w:sz="1"/>
              <w:bottom w:val="single" w:color="DBEAFE" w:sz="1"/>
              <w:right w:val="single" w:color="DBEAFE" w:sz="1"/>
            </w:tcBorders>
            <w:shd w:fill="F0F7FF" w:val="clear"/>
            <w:tcMar>
              <w:top w:type="dxa" w:w="100"/>
              <w:left w:type="dxa" w:w="110"/>
              <w:bottom w:type="dxa" w:w="100"/>
              <w:right w:type="dxa" w:w="110"/>
            </w:tcMar>
          </w:tcPr>
          <w:p>
            <w:r>
              <w:rPr>
                <w:rFonts w:ascii="Georgia" w:cs="Georgia" w:eastAsia="Georgia" w:hAnsi="Georgia"/>
                <w:color w:val="111827"/>
                <w:sz w:val="18"/>
                <w:szCs w:val="18"/>
              </w:rPr>
              <w:t xml:space="preserve">ISO 27001 SoA applicability decisions for Annex A controls align with PCI DSS requirements. Evidence collected for ISO 27001 (access review records, vulnerability scan reports, penetration test reports) directly serves PCI DSS QSA assessment.</w:t>
            </w:r>
          </w:p>
        </w:tc>
      </w:tr>
      <w:tr>
        <w:tc>
          <w:tcPr>
            <w:tcW w:type="auto" w:w="2200"/>
            <w:tcBorders>
              <w:top w:val="single" w:color="DBEAFE" w:sz="1"/>
              <w:left w:val="single" w:color="DBEAFE" w:sz="1"/>
              <w:bottom w:val="single" w:color="DBEAFE" w:sz="1"/>
              <w:right w:val="single" w:color="DBEAFE" w:sz="1"/>
            </w:tcBorders>
            <w:shd w:fill="F3F4F6" w:val="clear"/>
            <w:tcMar>
              <w:top w:type="dxa" w:w="100"/>
              <w:left w:type="dxa" w:w="110"/>
              <w:bottom w:type="dxa" w:w="100"/>
              <w:right w:type="dxa" w:w="110"/>
            </w:tcMar>
          </w:tcPr>
          <w:p>
            <w:r>
              <w:rPr>
                <w:rFonts w:ascii="Arial" w:cs="Arial" w:eastAsia="Arial" w:hAnsi="Arial"/>
                <w:b/>
                <w:bCs/>
                <w:color w:val="1B3A5C"/>
                <w:sz w:val="18"/>
                <w:szCs w:val="18"/>
              </w:rPr>
              <w:t xml:space="preserve">Where PCI DSS exceeds ISO 27001</w:t>
            </w:r>
          </w:p>
        </w:tc>
        <w:tc>
          <w:tcPr>
            <w:tcW w:type="auto" w:w="3580"/>
            <w:tcBorders>
              <w:top w:val="single" w:color="DBEAFE" w:sz="1"/>
              <w:left w:val="single" w:color="DBEAFE" w:sz="1"/>
              <w:bottom w:val="single" w:color="DBEAFE" w:sz="1"/>
              <w:right w:val="single" w:color="DBEAFE" w:sz="1"/>
            </w:tcBorders>
            <w:shd w:fill="FEF2F2" w:val="clear"/>
            <w:tcMar>
              <w:top w:type="dxa" w:w="100"/>
              <w:left w:type="dxa" w:w="110"/>
              <w:bottom w:type="dxa" w:w="100"/>
              <w:right w:type="dxa" w:w="110"/>
            </w:tcMar>
          </w:tcPr>
          <w:p>
            <w:r>
              <w:rPr>
                <w:rFonts w:ascii="Georgia" w:cs="Georgia" w:eastAsia="Georgia" w:hAnsi="Georgia"/>
                <w:color w:val="111827"/>
                <w:sz w:val="18"/>
                <w:szCs w:val="18"/>
              </w:rPr>
              <w:t xml:space="preserve">PCI DSS specifies: quarterly external vulnerability scanning by an ASV, annual internal and external penetration testing, quarterly wireless scanning, specific cardholder data masking requirements (PAN truncation), HSM requirements for PIN processing — all more prescriptive than ISO 27001 control equivalents.</w:t>
            </w:r>
          </w:p>
        </w:tc>
        <w:tc>
          <w:tcPr>
            <w:tcW w:type="auto" w:w="3580"/>
            <w:tcBorders>
              <w:top w:val="single" w:color="DBEAFE" w:sz="1"/>
              <w:left w:val="single" w:color="DBEAFE" w:sz="1"/>
              <w:bottom w:val="single" w:color="DBEAFE" w:sz="1"/>
              <w:right w:val="single" w:color="DBEAFE" w:sz="1"/>
            </w:tcBorders>
            <w:shd w:fill="EBF2FB" w:val="clear"/>
            <w:tcMar>
              <w:top w:type="dxa" w:w="100"/>
              <w:left w:type="dxa" w:w="110"/>
              <w:bottom w:type="dxa" w:w="100"/>
              <w:right w:type="dxa" w:w="110"/>
            </w:tcMar>
          </w:tcPr>
          <w:p>
            <w:r>
              <w:rPr>
                <w:rFonts w:ascii="Georgia" w:cs="Georgia" w:eastAsia="Georgia" w:hAnsi="Georgia"/>
                <w:color w:val="111827"/>
                <w:sz w:val="18"/>
                <w:szCs w:val="18"/>
              </w:rPr>
              <w:t xml:space="preserve">ISO 27001 8.8 (vulnerability management), 8.29 (security testing), 8.11 (data masking) are the relevant controls — but ISO 27001 does not mandate quarterly ASV scans, annual penetration testing specifically, or HSM requirements.</w:t>
            </w:r>
          </w:p>
        </w:tc>
      </w:tr>
    </w:tbl>
    <w:p>
      <w:pPr>
        <w:spacing w:after="160"/>
      </w:pPr>
      <w:r>
        <w:t xml:space="preserve"/>
      </w:r>
    </w:p>
    <w:p>
      <w:pPr>
        <w:spacing w:after="160" w:line="320"/>
        <w:jc w:val="both"/>
      </w:pPr>
      <w:r>
        <w:rPr>
          <w:rFonts w:ascii="Georgia" w:cs="Georgia" w:eastAsia="Georgia" w:hAnsi="Georgia"/>
          <w:color w:val="111827"/>
          <w:sz w:val="22"/>
          <w:szCs w:val="22"/>
        </w:rPr>
        <w:t xml:space="preserve">The practical implementation approach for organizations that need both: implement ISO 27001 as the overarching ISMS framework, and implement PCI DSS as a specialized control set within the cardholder data environment (CDE). The ISO 27001 evidence library serves both programs — access review records satisfy both ISO 27001 5.18 and PCI DSS Requirement 7 (restrict access to cardholder data). Vulnerability scan reports satisfy both ISO 27001 8.8 and PCI DSS Requirement 11 (test security systems). The PCI DSS QSA assessment, when it produces findings, creates ISO 27001 corrective action items through the same CAR process.</w:t>
      </w:r>
    </w:p>
    <w:p>
      <w:pPr>
        <w:spacing w:after="8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single" w:color="3730A3" w:sz="1"/>
              <w:left w:val="single" w:color="3730A3" w:sz="12"/>
              <w:bottom w:val="single" w:color="3730A3" w:sz="1"/>
              <w:right w:val="single" w:color="3730A3" w:sz="1"/>
            </w:tcBorders>
            <w:shd w:fill="EEF2FF" w:val="clear"/>
            <w:tcMar>
              <w:top w:type="dxa" w:w="140"/>
              <w:left w:type="dxa" w:w="200"/>
              <w:bottom w:type="dxa" w:w="140"/>
              <w:right w:type="dxa" w:w="160"/>
            </w:tcMar>
          </w:tcPr>
          <w:p>
            <w:r>
              <w:rPr>
                <w:rFonts w:ascii="Georgia" w:cs="Georgia" w:eastAsia="Georgia" w:hAnsi="Georgia"/>
                <w:i/>
                <w:iCs/>
                <w:color w:val="3730A3"/>
                <w:sz w:val="21"/>
                <w:szCs w:val="21"/>
              </w:rPr>
              <w:t xml:space="preserve">PCI scope minimization as a compliance strategy: For fintech organizations processing card payments, PCI DSS scope minimization — reducing the Cardholder Data Environment (CDE) to the smallest possible footprint — is both a security improvement and a compliance cost reduction. Tokenization (replacing card numbers with tokens at the point of entry) moves the liability for raw card data to the token provider (typically a certified PCI DSS Level 1 service provider) and reduces the fintech's CDE to minimal scope. Within the reduced CDE, ISO 27001 controls provide the governance framework that the QSA assesses. Organizations that achieve PCI DSS compliance through scope minimization and ISO 27001 governance typically have the most efficient and cost-effective path to annual requalification.</w:t>
            </w:r>
          </w:p>
        </w:tc>
      </w:tr>
    </w:tbl>
    <w:p>
      <w:pPr>
        <w:spacing w:after="200"/>
      </w:pPr>
      <w:r>
        <w:t xml:space="preserve"/>
      </w:r>
    </w:p>
    <w:p>
      <w:pPr>
        <w:pStyle w:val="Heading2"/>
        <w:pBdr>
          <w:bottom w:val="single" w:color="2563A8" w:sz="4" w:space="4"/>
        </w:pBdr>
        <w:spacing w:before="400" w:after="160"/>
      </w:pPr>
      <w:r>
        <w:rPr>
          <w:rFonts w:ascii="Arial" w:cs="Arial" w:eastAsia="Arial" w:hAnsi="Arial"/>
          <w:b/>
          <w:bCs/>
          <w:color w:val="1B3A5C"/>
          <w:sz w:val="28"/>
          <w:szCs w:val="28"/>
        </w:rPr>
        <w:t xml:space="preserve">Fintech-Specific ISMS Design Principles</w:t>
      </w:r>
    </w:p>
    <w:p>
      <w:pPr>
        <w:spacing w:after="80"/>
      </w:pPr>
      <w:r>
        <w:t xml:space="preserve"/>
      </w:r>
    </w:p>
    <w:p>
      <w:pPr>
        <w:pStyle w:val="Heading3"/>
        <w:spacing w:before="280" w:after="120"/>
      </w:pPr>
      <w:r>
        <w:rPr>
          <w:rFonts w:ascii="Arial" w:cs="Arial" w:eastAsia="Arial" w:hAnsi="Arial"/>
          <w:b/>
          <w:bCs/>
          <w:color w:val="2563A8"/>
          <w:sz w:val="24"/>
          <w:szCs w:val="24"/>
        </w:rPr>
        <w:t xml:space="preserve">Design for regulatory examination from day one</w:t>
      </w:r>
    </w:p>
    <w:p>
      <w:pPr>
        <w:spacing w:after="80"/>
      </w:pPr>
      <w:r>
        <w:t xml:space="preserve"/>
      </w:r>
    </w:p>
    <w:p>
      <w:pPr>
        <w:spacing w:after="160" w:line="320"/>
        <w:jc w:val="both"/>
      </w:pPr>
      <w:r>
        <w:rPr>
          <w:rFonts w:ascii="Georgia" w:cs="Georgia" w:eastAsia="Georgia" w:hAnsi="Georgia"/>
          <w:color w:val="111827"/>
          <w:sz w:val="22"/>
          <w:szCs w:val="22"/>
        </w:rPr>
        <w:t xml:space="preserve">Fintech organizations often receive their first regulatory examination within 6–12 months of going live with a licensed service. The ISMS should be designed from the start to support examination readiness — not to be adapted for examinations after the fact. This means: evidence organized by regulatory requirement (not just by ISO 27001 clause), incident notifications integrated into the incident response procedure rather than remembered under pressure, and a regulatory compliance dashboard that shows current status against BI, OJK, and UU PDP requirements at a glance.</w:t>
      </w:r>
    </w:p>
    <w:p>
      <w:pPr>
        <w:spacing w:after="80"/>
      </w:pPr>
      <w:r>
        <w:t xml:space="preserve"/>
      </w:r>
    </w:p>
    <w:p>
      <w:pPr>
        <w:pStyle w:val="Heading3"/>
        <w:spacing w:before="280" w:after="120"/>
      </w:pPr>
      <w:r>
        <w:rPr>
          <w:rFonts w:ascii="Arial" w:cs="Arial" w:eastAsia="Arial" w:hAnsi="Arial"/>
          <w:b/>
          <w:bCs/>
          <w:color w:val="2563A8"/>
          <w:sz w:val="24"/>
          <w:szCs w:val="24"/>
        </w:rPr>
        <w:t xml:space="preserve">Build the ISMS around product, not alongside it</w:t>
      </w:r>
    </w:p>
    <w:p>
      <w:pPr>
        <w:spacing w:after="80"/>
      </w:pPr>
      <w:r>
        <w:t xml:space="preserve"/>
      </w:r>
    </w:p>
    <w:p>
      <w:pPr>
        <w:spacing w:after="160" w:line="320"/>
        <w:jc w:val="both"/>
      </w:pPr>
      <w:r>
        <w:rPr>
          <w:rFonts w:ascii="Georgia" w:cs="Georgia" w:eastAsia="Georgia" w:hAnsi="Georgia"/>
          <w:color w:val="111827"/>
          <w:sz w:val="22"/>
          <w:szCs w:val="22"/>
        </w:rPr>
        <w:t xml:space="preserve">The most common fintech ISMS failure is building it alongside the product rather than around it. The product team builds the payment API, the compliance team builds the IS Policy, and the two efforts never connect — resulting in an ISMS that governs security in theory but not the systems that actually handle customer money. The remedy is explicit alignment at scope definition: the ISMS scope statement names the specific systems, APIs, and data flows that constitute the payment service. Every subsequent ISMS activity — risk assessment, control selection, evidence collection — is grounded in the actual product architecture.</w:t>
      </w:r>
    </w:p>
    <w:p>
      <w:pPr>
        <w:spacing w:after="80"/>
      </w:pPr>
      <w:r>
        <w:t xml:space="preserve"/>
      </w:r>
    </w:p>
    <w:p>
      <w:pPr>
        <w:pStyle w:val="Heading3"/>
        <w:spacing w:before="280" w:after="120"/>
      </w:pPr>
      <w:r>
        <w:rPr>
          <w:rFonts w:ascii="Arial" w:cs="Arial" w:eastAsia="Arial" w:hAnsi="Arial"/>
          <w:b/>
          <w:bCs/>
          <w:color w:val="2563A8"/>
          <w:sz w:val="24"/>
          <w:szCs w:val="24"/>
        </w:rPr>
        <w:t xml:space="preserve">Treat investors and enterprise clients as pseudo-regulators</w:t>
      </w:r>
    </w:p>
    <w:p>
      <w:pPr>
        <w:spacing w:after="80"/>
      </w:pPr>
      <w:r>
        <w:t xml:space="preserve"/>
      </w:r>
    </w:p>
    <w:p>
      <w:pPr>
        <w:spacing w:after="160" w:line="320"/>
        <w:jc w:val="both"/>
      </w:pPr>
      <w:r>
        <w:rPr>
          <w:rFonts w:ascii="Georgia" w:cs="Georgia" w:eastAsia="Georgia" w:hAnsi="Georgia"/>
          <w:color w:val="111827"/>
          <w:sz w:val="22"/>
          <w:szCs w:val="22"/>
        </w:rPr>
        <w:t xml:space="preserve">Indonesian fintech growth-stage companies face security questionnaires from enterprise banking partners, international investors conducting due diligence, and institutional clients with vendor security programs. These questionnaires ask the same questions as OJK examiners — risk management framework, access controls, incident response, encryption standards, backup and recovery. An ISO 27001-compliant ISMS answers all of these questions with audited evidence rather than assertions. The certification becomes a business development tool as much as a regulatory compliance artifact — and the return on implementation investment extends beyond regulatory risk reduction to commercial deal enablement.</w:t>
      </w:r>
    </w:p>
    <w:p>
      <w:pPr>
        <w:spacing w:after="20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480"/>
        <w:gridCol w:w="8880"/>
      </w:tblGrid>
      <w:tr>
        <w:tc>
          <w:tcPr>
            <w:tcW w:type="dxa" w:w="480"/>
            <w:tcBorders>
              <w:top w:val="single" w:color="C7D9F0" w:sz="1"/>
              <w:left w:val="single" w:color="C7D9F0" w:sz="1"/>
              <w:bottom w:val="single" w:color="C7D9F0" w:sz="1"/>
              <w:right w:val="none" w:color="FFFFFF" w:sz="0"/>
            </w:tcBorders>
            <w:shd w:fill="2563A8" w:val="clear"/>
            <w:tcMar>
              <w:top w:type="dxa" w:w="120"/>
              <w:left w:type="dxa" w:w="160"/>
              <w:bottom w:type="dxa" w:w="120"/>
              <w:right w:type="dxa" w:w="80"/>
            </w:tcMar>
            <w:vAlign w:val="center"/>
          </w:tcPr>
          <w:p>
            <w:pPr>
              <w:jc w:val="center"/>
            </w:pPr>
            <w:r>
              <w:rPr>
                <w:rFonts w:ascii="Arial" w:cs="Arial" w:eastAsia="Arial" w:hAnsi="Arial"/>
                <w:b/>
                <w:bCs/>
                <w:color w:val="FFFFFF"/>
                <w:sz w:val="17"/>
                <w:szCs w:val="17"/>
              </w:rPr>
              <w:t xml:space="preserve">NEXT ARTICLE</w:t>
            </w:r>
          </w:p>
        </w:tc>
        <w:tc>
          <w:tcPr>
            <w:tcW w:type="dxa" w:w="8880"/>
            <w:tcBorders>
              <w:top w:val="single" w:color="C7D9F0" w:sz="1"/>
              <w:left w:val="none" w:color="FFFFFF" w:sz="0"/>
              <w:bottom w:val="single" w:color="C7D9F0" w:sz="1"/>
              <w:right w:val="single" w:color="C7D9F0" w:sz="1"/>
            </w:tcBorders>
            <w:shd w:fill="EBF2FB" w:val="clear"/>
            <w:tcMar>
              <w:top w:type="dxa" w:w="120"/>
              <w:left w:type="dxa" w:w="160"/>
              <w:bottom w:type="dxa" w:w="120"/>
              <w:right w:type="dxa" w:w="160"/>
            </w:tcMar>
          </w:tcPr>
          <w:p>
            <w:r>
              <w:rPr>
                <w:rFonts w:ascii="Georgia" w:cs="Georgia" w:eastAsia="Georgia" w:hAnsi="Georgia"/>
                <w:i/>
                <w:iCs/>
                <w:color w:val="1B3A5C"/>
                <w:sz w:val="21"/>
                <w:szCs w:val="21"/>
              </w:rPr>
              <w:t xml:space="preserve">6.5 — ISO 27001 for Healthcare and Critical Infrastructure: Sector-specific guidance for healthcare providers and operators of critical national infrastructure in Indonesia, where data sensitivity and operational continuity requirements exceed general commercial standards.</w:t>
            </w:r>
          </w:p>
        </w:tc>
      </w:tr>
    </w:tbl>
    <w:p>
      <w:pPr>
        <w:spacing w:after="200"/>
      </w:pPr>
      <w:r>
        <w:t xml:space="preserve"/>
      </w:r>
    </w:p>
    <w:p>
      <w:pPr>
        <w:pBdr>
          <w:bottom w:val="single" w:color="D1D5DB" w:sz="2" w:space="1"/>
        </w:pBdr>
        <w:spacing w:before="200" w:after="200"/>
      </w:pPr>
      <w:r>
        <w:t xml:space="preserve"/>
      </w:r>
    </w:p>
    <w:p>
      <w:pPr>
        <w:spacing w:after="80"/>
      </w:pPr>
      <w:r>
        <w:t xml:space="preserve"/>
      </w:r>
    </w:p>
    <w:p>
      <w:pPr>
        <w:spacing w:after="40"/>
        <w:jc w:val="center"/>
      </w:pPr>
      <w:r>
        <w:rPr>
          <w:rFonts w:ascii="Arial" w:cs="Arial" w:eastAsia="Arial" w:hAnsi="Arial"/>
          <w:color w:val="9CA3AF"/>
          <w:sz w:val="17"/>
          <w:szCs w:val="17"/>
        </w:rPr>
        <w:t xml:space="preserve">ISO 27001 Information Security Management System Documentation  ·  Bitlion GRC Platform  ·  © 2026</w:t>
      </w:r>
    </w:p>
    <w:p>
      <w:pPr>
        <w:jc w:val="center"/>
      </w:pPr>
      <w:r>
        <w:rPr>
          <w:rFonts w:ascii="Arial" w:cs="Arial" w:eastAsia="Arial" w:hAnsi="Arial"/>
          <w:i/>
          <w:iCs/>
          <w:color w:val="9CA3AF"/>
          <w:sz w:val="17"/>
          <w:szCs w:val="17"/>
        </w:rPr>
        <w:t xml:space="preserve">This document is part of Bitlion's open compliance knowledge base. For implementation support, visit bitlion.ai</w:t>
      </w:r>
    </w:p>
    <w:sectPr>
      <w:pgSz w:w="12240" w:h="15840"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abstractNum w:abstractNumId="2" w15:restartNumberingAfterBreak="0">
    <w:multiLevelType w:val="hybridMultilevel"/>
    <w:lvl w:ilvl="0" w15:tentative="1">
      <w:start w:val="1"/>
      <w:numFmt w:val="bullet"/>
      <w:lvlText w:val="•"/>
      <w:lvlJc w:val="left"/>
      <w:pPr>
        <w:ind w:left="720" w:hanging="360"/>
      </w:pPr>
    </w:lvl>
  </w:abstractNum>
  <w:num w:numId="1">
    <w:abstractNumId w:val="1"/>
    <w:lvlOverride w:ilvl="0">
      <w:startOverride w:val="1"/>
    </w:lvlOverride>
  </w:num>
  <w:num w:numId="2">
    <w:abstractNumId w:val="2"/>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uri="http://schemas.microsoft.com/office/word" w:name="compatibilityMode"/>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Georgia" w:cs="Georgia" w:eastAsia="Georgia" w:hAnsi="Georgia"/>
        <w:color w:val="111827"/>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paragraph" w:styleId="Heading1">
    <w:name w:val="Heading 1"/>
    <w:basedOn w:val="Normal"/>
    <w:next w:val="Normal"/>
    <w:qFormat/>
    <w:pPr>
      <w:spacing w:before="0" w:after="200"/>
      <w:outlineLvl w:val="0"/>
    </w:pPr>
    <w:rPr>
      <w:rFonts w:ascii="Arial" w:cs="Arial" w:eastAsia="Arial" w:hAnsi="Arial"/>
      <w:b/>
      <w:bCs/>
      <w:color w:val="1B3A5C"/>
      <w:sz w:val="44"/>
      <w:szCs w:val="44"/>
    </w:rPr>
  </w:style>
  <w:style w:type="paragraph" w:styleId="Heading2">
    <w:name w:val="Heading 2"/>
    <w:basedOn w:val="Normal"/>
    <w:next w:val="Normal"/>
    <w:qFormat/>
    <w:pPr>
      <w:spacing w:before="400" w:after="160"/>
      <w:outlineLvl w:val="1"/>
    </w:pPr>
    <w:rPr>
      <w:rFonts w:ascii="Arial" w:cs="Arial" w:eastAsia="Arial" w:hAnsi="Arial"/>
      <w:b/>
      <w:bCs/>
      <w:color w:val="1B3A5C"/>
      <w:sz w:val="28"/>
      <w:szCs w:val="28"/>
    </w:rPr>
  </w:style>
  <w:style w:type="paragraph" w:styleId="Heading3">
    <w:name w:val="Heading 3"/>
    <w:basedOn w:val="Normal"/>
    <w:next w:val="Normal"/>
    <w:qFormat/>
    <w:pPr>
      <w:spacing w:before="280" w:after="120"/>
      <w:outlineLvl w:val="2"/>
    </w:pPr>
    <w:rPr>
      <w:rFonts w:ascii="Arial" w:cs="Arial" w:eastAsia="Arial" w:hAnsi="Arial"/>
      <w:b/>
      <w:bCs/>
      <w:color w:val="2563A8"/>
      <w:sz w:val="24"/>
      <w:szCs w:val="24"/>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 Id="rId5" Type="http://schemas.openxmlformats.org/officeDocument/2006/relationships/comments" Target="comments.xml"/><Relationship Id="rId6" Type="http://schemas.openxmlformats.org/officeDocument/2006/relationships/fontTable" Target="fontTable.xml"/></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2026-03-28T11:49:32.408Z</dcterms:created>
  <dcterms:modified xsi:type="dcterms:W3CDTF">2026-03-28T11:49:32.409Z</dcterms:modified>
</cp:coreProperties>
</file>

<file path=docProps/custom.xml><?xml version="1.0" encoding="utf-8"?>
<Properties xmlns="http://schemas.openxmlformats.org/officeDocument/2006/custom-properties" xmlns:vt="http://schemas.openxmlformats.org/officeDocument/2006/docPropsVTypes"/>
</file>